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09C" w:rsidRPr="007B291C" w:rsidRDefault="00F7009C" w:rsidP="007B291C">
      <w:pPr>
        <w:widowControl w:val="0"/>
        <w:spacing w:before="100" w:beforeAutospacing="1" w:after="100" w:afterAutospacing="1" w:line="360" w:lineRule="auto"/>
        <w:ind w:right="-164"/>
        <w:jc w:val="both"/>
        <w:rPr>
          <w:rFonts w:ascii="Palatino Linotype" w:eastAsia="Calibri" w:hAnsi="Palatino Linotype" w:cs="Arial"/>
          <w:b/>
          <w:color w:val="000000"/>
        </w:rPr>
      </w:pPr>
      <w:r w:rsidRPr="007B291C">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BB23A9">
        <w:rPr>
          <w:rFonts w:ascii="Palatino Linotype" w:hAnsi="Palatino Linotype" w:cs="Arial"/>
          <w:b/>
        </w:rPr>
        <w:t>SEXTA</w:t>
      </w:r>
      <w:r w:rsidR="0097629D">
        <w:rPr>
          <w:rFonts w:ascii="Palatino Linotype" w:hAnsi="Palatino Linotype" w:cs="Arial"/>
          <w:b/>
        </w:rPr>
        <w:t xml:space="preserve"> </w:t>
      </w:r>
      <w:r w:rsidRPr="007B291C">
        <w:rPr>
          <w:rFonts w:ascii="Palatino Linotype" w:hAnsi="Palatino Linotype" w:cs="Arial"/>
          <w:b/>
        </w:rPr>
        <w:t xml:space="preserve">SESIÓN ORDINARIA DEL </w:t>
      </w:r>
      <w:r w:rsidR="00BB23A9">
        <w:rPr>
          <w:rFonts w:ascii="Palatino Linotype" w:hAnsi="Palatino Linotype" w:cs="Arial"/>
          <w:b/>
        </w:rPr>
        <w:t>TRECE</w:t>
      </w:r>
      <w:r w:rsidR="00532CA2" w:rsidRPr="007B291C">
        <w:rPr>
          <w:rFonts w:ascii="Palatino Linotype" w:hAnsi="Palatino Linotype" w:cs="Arial"/>
          <w:b/>
        </w:rPr>
        <w:t xml:space="preserve"> </w:t>
      </w:r>
      <w:r w:rsidR="00AF3382" w:rsidRPr="007B291C">
        <w:rPr>
          <w:rFonts w:ascii="Palatino Linotype" w:hAnsi="Palatino Linotype" w:cs="Arial"/>
          <w:b/>
        </w:rPr>
        <w:t xml:space="preserve">DE </w:t>
      </w:r>
      <w:r w:rsidR="00BB23A9">
        <w:rPr>
          <w:rFonts w:ascii="Palatino Linotype" w:hAnsi="Palatino Linotype" w:cs="Arial"/>
          <w:b/>
        </w:rPr>
        <w:t>FEBRERO DE DOS MIL DIECINUEVE</w:t>
      </w:r>
      <w:r w:rsidR="00532CA2" w:rsidRPr="007B291C">
        <w:rPr>
          <w:rFonts w:ascii="Palatino Linotype" w:hAnsi="Palatino Linotype" w:cs="Arial"/>
          <w:b/>
        </w:rPr>
        <w:t>,</w:t>
      </w:r>
      <w:r w:rsidR="00BB23A9">
        <w:rPr>
          <w:rFonts w:ascii="Palatino Linotype" w:hAnsi="Palatino Linotype" w:cs="Arial"/>
          <w:b/>
        </w:rPr>
        <w:t xml:space="preserve"> EN </w:t>
      </w:r>
      <w:r w:rsidR="0097629D">
        <w:rPr>
          <w:rFonts w:ascii="Palatino Linotype" w:hAnsi="Palatino Linotype" w:cs="Arial"/>
          <w:b/>
        </w:rPr>
        <w:t>L</w:t>
      </w:r>
      <w:r w:rsidR="00BB23A9">
        <w:rPr>
          <w:rFonts w:ascii="Palatino Linotype" w:hAnsi="Palatino Linotype" w:cs="Arial"/>
          <w:b/>
        </w:rPr>
        <w:t>OS</w:t>
      </w:r>
      <w:r w:rsidR="0097629D">
        <w:rPr>
          <w:rFonts w:ascii="Palatino Linotype" w:hAnsi="Palatino Linotype" w:cs="Arial"/>
          <w:b/>
        </w:rPr>
        <w:t xml:space="preserve"> RECURSO</w:t>
      </w:r>
      <w:r w:rsidR="00BB23A9">
        <w:rPr>
          <w:rFonts w:ascii="Palatino Linotype" w:hAnsi="Palatino Linotype" w:cs="Arial"/>
          <w:b/>
        </w:rPr>
        <w:t>S</w:t>
      </w:r>
      <w:r w:rsidR="0097629D">
        <w:rPr>
          <w:rFonts w:ascii="Palatino Linotype" w:hAnsi="Palatino Linotype" w:cs="Arial"/>
          <w:b/>
        </w:rPr>
        <w:t xml:space="preserve"> DE REVISIÓN </w:t>
      </w:r>
      <w:r w:rsidR="00BB23A9" w:rsidRPr="00BB23A9">
        <w:rPr>
          <w:rFonts w:ascii="Palatino Linotype" w:hAnsi="Palatino Linotype" w:cs="Arial"/>
          <w:b/>
        </w:rPr>
        <w:t>04408/INFOEM/IP/RR/2018</w:t>
      </w:r>
      <w:r w:rsidR="00BB23A9">
        <w:rPr>
          <w:rFonts w:ascii="Palatino Linotype" w:hAnsi="Palatino Linotype" w:cs="Arial"/>
          <w:b/>
        </w:rPr>
        <w:t xml:space="preserve"> Y 04822</w:t>
      </w:r>
      <w:r w:rsidR="00BB23A9" w:rsidRPr="00BB23A9">
        <w:rPr>
          <w:rFonts w:ascii="Palatino Linotype" w:hAnsi="Palatino Linotype" w:cs="Arial"/>
          <w:b/>
        </w:rPr>
        <w:t>/INFOEM/IP/RR/2018</w:t>
      </w:r>
      <w:r w:rsidR="00BB23A9">
        <w:rPr>
          <w:rFonts w:ascii="Palatino Linotype" w:hAnsi="Palatino Linotype" w:cs="Arial"/>
          <w:b/>
        </w:rPr>
        <w:t xml:space="preserve"> ACUMULADOS.</w:t>
      </w:r>
    </w:p>
    <w:p w:rsidR="00F7009C" w:rsidRPr="007B291C" w:rsidRDefault="00F7009C" w:rsidP="007B291C">
      <w:pPr>
        <w:spacing w:before="100" w:beforeAutospacing="1" w:after="100" w:afterAutospacing="1" w:line="360" w:lineRule="auto"/>
        <w:jc w:val="both"/>
        <w:rPr>
          <w:rFonts w:ascii="Palatino Linotype" w:hAnsi="Palatino Linotype" w:cs="Arial"/>
        </w:rPr>
      </w:pPr>
      <w:r w:rsidRPr="007B291C">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7B291C">
        <w:rPr>
          <w:rFonts w:ascii="Palatino Linotype" w:hAnsi="Palatino Linotype" w:cs="Arial"/>
          <w:b/>
          <w:lang w:val="es-ES_tradnl"/>
        </w:rPr>
        <w:t xml:space="preserve"> </w:t>
      </w:r>
      <w:r w:rsidRPr="007B291C">
        <w:rPr>
          <w:rFonts w:ascii="Palatino Linotype" w:hAnsi="Palatino Linotype" w:cs="Arial"/>
          <w:b/>
        </w:rPr>
        <w:t xml:space="preserve">EVA ABAID YAPUR </w:t>
      </w:r>
      <w:r w:rsidRPr="007B291C">
        <w:rPr>
          <w:rFonts w:ascii="Palatino Linotype" w:hAnsi="Palatino Linotype" w:cs="Arial"/>
        </w:rPr>
        <w:t xml:space="preserve">emite </w:t>
      </w:r>
      <w:r w:rsidRPr="007B291C">
        <w:rPr>
          <w:rFonts w:ascii="Palatino Linotype" w:hAnsi="Palatino Linotype" w:cs="Arial"/>
          <w:b/>
        </w:rPr>
        <w:t xml:space="preserve">VOTO PARTICULAR </w:t>
      </w:r>
      <w:r w:rsidRPr="007B291C">
        <w:rPr>
          <w:rFonts w:ascii="Palatino Linotype" w:hAnsi="Palatino Linotype" w:cs="Arial"/>
        </w:rPr>
        <w:t>respecto de la resolución dictada en l</w:t>
      </w:r>
      <w:r w:rsidR="00BB23A9">
        <w:rPr>
          <w:rFonts w:ascii="Palatino Linotype" w:hAnsi="Palatino Linotype" w:cs="Arial"/>
        </w:rPr>
        <w:t>os</w:t>
      </w:r>
      <w:r w:rsidRPr="007B291C">
        <w:rPr>
          <w:rFonts w:ascii="Palatino Linotype" w:hAnsi="Palatino Linotype" w:cs="Arial"/>
        </w:rPr>
        <w:t xml:space="preserve"> recurso</w:t>
      </w:r>
      <w:r w:rsidR="00BB23A9">
        <w:rPr>
          <w:rFonts w:ascii="Palatino Linotype" w:hAnsi="Palatino Linotype" w:cs="Arial"/>
        </w:rPr>
        <w:t>s</w:t>
      </w:r>
      <w:r w:rsidRPr="007B291C">
        <w:rPr>
          <w:rFonts w:ascii="Palatino Linotype" w:hAnsi="Palatino Linotype" w:cs="Arial"/>
        </w:rPr>
        <w:t xml:space="preserve"> </w:t>
      </w:r>
      <w:proofErr w:type="gramStart"/>
      <w:r w:rsidRPr="007B291C">
        <w:rPr>
          <w:rFonts w:ascii="Palatino Linotype" w:hAnsi="Palatino Linotype" w:cs="Arial"/>
        </w:rPr>
        <w:t>de</w:t>
      </w:r>
      <w:proofErr w:type="gramEnd"/>
      <w:r w:rsidRPr="007B291C">
        <w:rPr>
          <w:rFonts w:ascii="Palatino Linotype" w:hAnsi="Palatino Linotype" w:cs="Arial"/>
        </w:rPr>
        <w:t xml:space="preserve"> revisión</w:t>
      </w:r>
      <w:r w:rsidR="00BB23A9">
        <w:rPr>
          <w:rFonts w:ascii="Palatino Linotype" w:hAnsi="Palatino Linotype" w:cs="Arial"/>
        </w:rPr>
        <w:t xml:space="preserve"> </w:t>
      </w:r>
      <w:r w:rsidR="00BB23A9" w:rsidRPr="00BB23A9">
        <w:rPr>
          <w:rFonts w:ascii="Palatino Linotype" w:hAnsi="Palatino Linotype" w:cs="Arial"/>
          <w:b/>
        </w:rPr>
        <w:t xml:space="preserve">04408/INFOEM/IP/RR/2018 </w:t>
      </w:r>
      <w:r w:rsidR="00BB23A9" w:rsidRPr="00BB23A9">
        <w:rPr>
          <w:rFonts w:ascii="Palatino Linotype" w:hAnsi="Palatino Linotype" w:cs="Arial"/>
        </w:rPr>
        <w:t>y</w:t>
      </w:r>
      <w:r w:rsidR="00BB23A9" w:rsidRPr="00BB23A9">
        <w:rPr>
          <w:rFonts w:ascii="Palatino Linotype" w:hAnsi="Palatino Linotype" w:cs="Arial"/>
          <w:b/>
        </w:rPr>
        <w:t xml:space="preserve"> 04822/INFOEM/IP/RR/2018</w:t>
      </w:r>
      <w:r w:rsidR="00BB23A9" w:rsidRPr="00BB23A9">
        <w:rPr>
          <w:rFonts w:ascii="Palatino Linotype" w:hAnsi="Palatino Linotype" w:cs="Arial"/>
        </w:rPr>
        <w:t xml:space="preserve"> acumulados</w:t>
      </w:r>
      <w:r w:rsidRPr="007B291C">
        <w:rPr>
          <w:rFonts w:ascii="Palatino Linotype" w:eastAsia="Calibri" w:hAnsi="Palatino Linotype" w:cs="Arial"/>
          <w:b/>
          <w:color w:val="000000"/>
        </w:rPr>
        <w:t>,</w:t>
      </w:r>
      <w:r w:rsidRPr="007B291C">
        <w:rPr>
          <w:rFonts w:ascii="Palatino Linotype" w:hAnsi="Palatino Linotype"/>
          <w:b/>
          <w:bCs/>
        </w:rPr>
        <w:t xml:space="preserve"> </w:t>
      </w:r>
      <w:r w:rsidRPr="007B291C">
        <w:rPr>
          <w:rFonts w:ascii="Palatino Linotype" w:hAnsi="Palatino Linotype" w:cs="Arial"/>
        </w:rPr>
        <w:t>pronunciada por el Pleno de este Instituto a</w:t>
      </w:r>
      <w:r w:rsidR="00B85432" w:rsidRPr="007B291C">
        <w:rPr>
          <w:rFonts w:ascii="Palatino Linotype" w:hAnsi="Palatino Linotype" w:cs="Arial"/>
        </w:rPr>
        <w:t xml:space="preserve">nte el proyecto presentado por </w:t>
      </w:r>
      <w:r w:rsidR="00BB23A9">
        <w:rPr>
          <w:rFonts w:ascii="Palatino Linotype" w:hAnsi="Palatino Linotype" w:cs="Arial"/>
        </w:rPr>
        <w:t>e</w:t>
      </w:r>
      <w:r w:rsidR="003126B1" w:rsidRPr="007B291C">
        <w:rPr>
          <w:rFonts w:ascii="Palatino Linotype" w:hAnsi="Palatino Linotype" w:cs="Arial"/>
        </w:rPr>
        <w:t>l</w:t>
      </w:r>
      <w:r w:rsidR="00B85432" w:rsidRPr="007B291C">
        <w:rPr>
          <w:rFonts w:ascii="Palatino Linotype" w:hAnsi="Palatino Linotype" w:cs="Arial"/>
        </w:rPr>
        <w:t xml:space="preserve"> Comisionad</w:t>
      </w:r>
      <w:r w:rsidR="00BB23A9">
        <w:rPr>
          <w:rFonts w:ascii="Palatino Linotype" w:hAnsi="Palatino Linotype" w:cs="Arial"/>
        </w:rPr>
        <w:t>o</w:t>
      </w:r>
      <w:r w:rsidR="0097629D">
        <w:rPr>
          <w:rFonts w:ascii="Palatino Linotype" w:hAnsi="Palatino Linotype" w:cs="Arial"/>
        </w:rPr>
        <w:t xml:space="preserve"> </w:t>
      </w:r>
      <w:r w:rsidR="00BB23A9">
        <w:rPr>
          <w:rFonts w:ascii="Palatino Linotype" w:hAnsi="Palatino Linotype" w:cs="Arial"/>
          <w:b/>
        </w:rPr>
        <w:t>JOSÉ GUADALUPE LUNA HERNÁNDEZ</w:t>
      </w:r>
      <w:r w:rsidR="00161C25" w:rsidRPr="007B291C">
        <w:rPr>
          <w:rFonts w:ascii="Palatino Linotype" w:hAnsi="Palatino Linotype" w:cs="Arial"/>
        </w:rPr>
        <w:t>, que es del tenor siguiente.</w:t>
      </w:r>
    </w:p>
    <w:p w:rsidR="00F7009C" w:rsidRPr="007B291C" w:rsidRDefault="00F7009C" w:rsidP="007B291C">
      <w:pPr>
        <w:spacing w:before="100" w:beforeAutospacing="1" w:after="100" w:afterAutospacing="1" w:line="360" w:lineRule="auto"/>
        <w:jc w:val="both"/>
        <w:rPr>
          <w:rFonts w:ascii="Palatino Linotype" w:hAnsi="Palatino Linotype"/>
        </w:rPr>
      </w:pPr>
      <w:r w:rsidRPr="007B291C">
        <w:rPr>
          <w:rFonts w:ascii="Palatino Linotype" w:hAnsi="Palatino Linotype"/>
        </w:rPr>
        <w:t xml:space="preserve">Es de destacar, que la suscrita comparte el sentido de la resolución del recurso de revisión; empero, considero necesario precisar algunas </w:t>
      </w:r>
      <w:r w:rsidR="00D74C44">
        <w:rPr>
          <w:rFonts w:ascii="Palatino Linotype" w:hAnsi="Palatino Linotype"/>
        </w:rPr>
        <w:t xml:space="preserve">cuestiones </w:t>
      </w:r>
      <w:r w:rsidRPr="007B291C">
        <w:rPr>
          <w:rFonts w:ascii="Palatino Linotype" w:hAnsi="Palatino Linotype"/>
        </w:rPr>
        <w:t>de hecho y de derecho, tocante al</w:t>
      </w:r>
      <w:r w:rsidR="0081298B" w:rsidRPr="007B291C">
        <w:rPr>
          <w:rFonts w:ascii="Palatino Linotype" w:hAnsi="Palatino Linotype"/>
        </w:rPr>
        <w:t xml:space="preserve"> resolutivo </w:t>
      </w:r>
      <w:r w:rsidR="00BB23A9">
        <w:rPr>
          <w:rFonts w:ascii="Palatino Linotype" w:hAnsi="Palatino Linotype"/>
        </w:rPr>
        <w:t xml:space="preserve">QUINTO </w:t>
      </w:r>
      <w:r w:rsidR="0081298B" w:rsidRPr="007B291C">
        <w:rPr>
          <w:rFonts w:ascii="Palatino Linotype" w:hAnsi="Palatino Linotype"/>
        </w:rPr>
        <w:t>de</w:t>
      </w:r>
      <w:r w:rsidR="00D16EA1" w:rsidRPr="007B291C">
        <w:rPr>
          <w:rFonts w:ascii="Palatino Linotype" w:hAnsi="Palatino Linotype"/>
        </w:rPr>
        <w:t xml:space="preserve"> </w:t>
      </w:r>
      <w:r w:rsidRPr="007B291C">
        <w:rPr>
          <w:rFonts w:ascii="Palatino Linotype" w:hAnsi="Palatino Linotype"/>
        </w:rPr>
        <w:t>la resolución correspondiente.</w:t>
      </w:r>
    </w:p>
    <w:p w:rsidR="0097629D" w:rsidRDefault="00F7009C" w:rsidP="0097629D">
      <w:pPr>
        <w:spacing w:before="100" w:beforeAutospacing="1" w:after="100" w:afterAutospacing="1" w:line="360" w:lineRule="auto"/>
        <w:jc w:val="both"/>
        <w:rPr>
          <w:rFonts w:ascii="Palatino Linotype" w:hAnsi="Palatino Linotype"/>
        </w:rPr>
      </w:pPr>
      <w:r w:rsidRPr="007B291C">
        <w:rPr>
          <w:rFonts w:ascii="Palatino Linotype" w:hAnsi="Palatino Linotype"/>
        </w:rPr>
        <w:t xml:space="preserve">Al respecto, tal y como quedó debidamente asentado en la resolución materia del presente voto, el particular requirió </w:t>
      </w:r>
      <w:r w:rsidR="00B85432" w:rsidRPr="007B291C">
        <w:rPr>
          <w:rFonts w:ascii="Palatino Linotype" w:hAnsi="Palatino Linotype"/>
        </w:rPr>
        <w:t>de</w:t>
      </w:r>
      <w:r w:rsidR="00BB23A9">
        <w:rPr>
          <w:rFonts w:ascii="Palatino Linotype" w:hAnsi="Palatino Linotype"/>
        </w:rPr>
        <w:t xml:space="preserve"> </w:t>
      </w:r>
      <w:r w:rsidR="00B85432" w:rsidRPr="007B291C">
        <w:rPr>
          <w:rFonts w:ascii="Palatino Linotype" w:hAnsi="Palatino Linotype"/>
        </w:rPr>
        <w:t>l</w:t>
      </w:r>
      <w:r w:rsidR="00BB23A9">
        <w:rPr>
          <w:rFonts w:ascii="Palatino Linotype" w:hAnsi="Palatino Linotype"/>
        </w:rPr>
        <w:t>a</w:t>
      </w:r>
      <w:r w:rsidR="00B85432" w:rsidRPr="007B291C">
        <w:rPr>
          <w:rFonts w:ascii="Palatino Linotype" w:hAnsi="Palatino Linotype"/>
        </w:rPr>
        <w:t xml:space="preserve"> </w:t>
      </w:r>
      <w:r w:rsidR="00BB23A9">
        <w:rPr>
          <w:rFonts w:ascii="Palatino Linotype" w:hAnsi="Palatino Linotype"/>
          <w:b/>
        </w:rPr>
        <w:t>Procuraduría de Protección al Ambiente del Estado de México</w:t>
      </w:r>
      <w:r w:rsidR="00B85432" w:rsidRPr="007B291C">
        <w:rPr>
          <w:rFonts w:ascii="Palatino Linotype" w:hAnsi="Palatino Linotype"/>
        </w:rPr>
        <w:t xml:space="preserve">, en lo sucesivo </w:t>
      </w:r>
      <w:r w:rsidR="00B85432" w:rsidRPr="007B291C">
        <w:rPr>
          <w:rFonts w:ascii="Palatino Linotype" w:hAnsi="Palatino Linotype"/>
          <w:b/>
        </w:rPr>
        <w:t>EL</w:t>
      </w:r>
      <w:r w:rsidRPr="007B291C">
        <w:rPr>
          <w:rFonts w:ascii="Palatino Linotype" w:hAnsi="Palatino Linotype"/>
        </w:rPr>
        <w:t xml:space="preserve"> </w:t>
      </w:r>
      <w:r w:rsidRPr="007B291C">
        <w:rPr>
          <w:rFonts w:ascii="Palatino Linotype" w:hAnsi="Palatino Linotype"/>
          <w:b/>
        </w:rPr>
        <w:t>SUJETO OBLIGADO,</w:t>
      </w:r>
      <w:r w:rsidR="00B85432" w:rsidRPr="007B291C">
        <w:rPr>
          <w:rFonts w:ascii="Palatino Linotype" w:hAnsi="Palatino Linotype"/>
        </w:rPr>
        <w:t xml:space="preserve"> </w:t>
      </w:r>
      <w:r w:rsidR="0097629D">
        <w:rPr>
          <w:rFonts w:ascii="Palatino Linotype" w:hAnsi="Palatino Linotype"/>
        </w:rPr>
        <w:t xml:space="preserve">la </w:t>
      </w:r>
      <w:r w:rsidR="003126B1" w:rsidRPr="007B291C">
        <w:rPr>
          <w:rFonts w:ascii="Palatino Linotype" w:hAnsi="Palatino Linotype"/>
        </w:rPr>
        <w:t xml:space="preserve">información </w:t>
      </w:r>
      <w:r w:rsidR="00BD4760">
        <w:rPr>
          <w:rFonts w:ascii="Palatino Linotype" w:hAnsi="Palatino Linotype"/>
        </w:rPr>
        <w:t xml:space="preserve">que </w:t>
      </w:r>
      <w:r w:rsidR="0097629D">
        <w:rPr>
          <w:rFonts w:ascii="Palatino Linotype" w:hAnsi="Palatino Linotype"/>
        </w:rPr>
        <w:t>a continuación se desagrega:</w:t>
      </w:r>
    </w:p>
    <w:p w:rsidR="00BB23A9" w:rsidRPr="00BB23A9" w:rsidRDefault="00BB23A9" w:rsidP="00BB23A9">
      <w:pPr>
        <w:ind w:left="851" w:right="902"/>
        <w:jc w:val="both"/>
        <w:rPr>
          <w:rFonts w:ascii="Palatino Linotype" w:hAnsi="Palatino Linotype" w:cs="Arial"/>
          <w:i/>
          <w:sz w:val="22"/>
        </w:rPr>
      </w:pPr>
      <w:r w:rsidRPr="00BB23A9">
        <w:rPr>
          <w:rFonts w:ascii="Palatino Linotype" w:hAnsi="Palatino Linotype" w:cs="Arial"/>
          <w:i/>
          <w:sz w:val="22"/>
        </w:rPr>
        <w:lastRenderedPageBreak/>
        <w:t>•</w:t>
      </w:r>
      <w:r w:rsidRPr="00BB23A9">
        <w:rPr>
          <w:rFonts w:ascii="Palatino Linotype" w:hAnsi="Palatino Linotype" w:cs="Arial"/>
          <w:i/>
          <w:sz w:val="22"/>
        </w:rPr>
        <w:tab/>
        <w:t xml:space="preserve">Sanciones impuestas a </w:t>
      </w:r>
      <w:proofErr w:type="spellStart"/>
      <w:r w:rsidRPr="00BB23A9">
        <w:rPr>
          <w:rFonts w:ascii="Palatino Linotype" w:hAnsi="Palatino Linotype" w:cs="Arial"/>
          <w:i/>
          <w:sz w:val="22"/>
        </w:rPr>
        <w:t>Verificentros</w:t>
      </w:r>
      <w:proofErr w:type="spellEnd"/>
      <w:r w:rsidRPr="00BB23A9">
        <w:rPr>
          <w:rFonts w:ascii="Palatino Linotype" w:hAnsi="Palatino Linotype" w:cs="Arial"/>
          <w:i/>
          <w:sz w:val="22"/>
        </w:rPr>
        <w:t xml:space="preserve"> por todos y cada uno de los motivos que haya determinado la Secretaría del Medio Ambiente de enero de 2012 a la fecha. En caso que haya expedientes que aún no han causado ejecutoria,  entregar todos los demás procedimientos que sí hayan causado ejecutoria.</w:t>
      </w:r>
    </w:p>
    <w:p w:rsidR="00BB23A9" w:rsidRPr="00BB23A9" w:rsidRDefault="00BB23A9" w:rsidP="00BB23A9">
      <w:pPr>
        <w:ind w:left="851" w:right="902"/>
        <w:jc w:val="both"/>
        <w:rPr>
          <w:rFonts w:ascii="Palatino Linotype" w:hAnsi="Palatino Linotype" w:cs="Arial"/>
          <w:i/>
          <w:sz w:val="22"/>
        </w:rPr>
      </w:pPr>
    </w:p>
    <w:p w:rsidR="00BB23A9" w:rsidRDefault="00BB23A9" w:rsidP="00BB23A9">
      <w:pPr>
        <w:ind w:left="851" w:right="902"/>
        <w:jc w:val="both"/>
        <w:rPr>
          <w:rFonts w:ascii="Palatino Linotype" w:hAnsi="Palatino Linotype" w:cs="Arial"/>
          <w:i/>
          <w:sz w:val="22"/>
        </w:rPr>
      </w:pPr>
      <w:r w:rsidRPr="00BB23A9">
        <w:rPr>
          <w:rFonts w:ascii="Palatino Linotype" w:hAnsi="Palatino Linotype" w:cs="Arial"/>
          <w:i/>
          <w:sz w:val="22"/>
        </w:rPr>
        <w:t>•</w:t>
      </w:r>
      <w:r w:rsidRPr="00BB23A9">
        <w:rPr>
          <w:rFonts w:ascii="Palatino Linotype" w:hAnsi="Palatino Linotype" w:cs="Arial"/>
          <w:i/>
          <w:sz w:val="22"/>
        </w:rPr>
        <w:tab/>
        <w:t xml:space="preserve">Sanciones impuestas a </w:t>
      </w:r>
      <w:proofErr w:type="spellStart"/>
      <w:r w:rsidRPr="00BB23A9">
        <w:rPr>
          <w:rFonts w:ascii="Palatino Linotype" w:hAnsi="Palatino Linotype" w:cs="Arial"/>
          <w:i/>
          <w:sz w:val="22"/>
        </w:rPr>
        <w:t>Verificentros</w:t>
      </w:r>
      <w:proofErr w:type="spellEnd"/>
      <w:r w:rsidRPr="00BB23A9">
        <w:rPr>
          <w:rFonts w:ascii="Palatino Linotype" w:hAnsi="Palatino Linotype" w:cs="Arial"/>
          <w:i/>
          <w:sz w:val="22"/>
        </w:rPr>
        <w:t xml:space="preserve"> por todos y cada uno de los motivos que haya determinado la Secretaría del Medio Ambiente de enero de 2015 a la fecha.</w:t>
      </w:r>
    </w:p>
    <w:p w:rsidR="003E3691" w:rsidRDefault="00F7009C" w:rsidP="0097629D">
      <w:pPr>
        <w:spacing w:before="100" w:beforeAutospacing="1" w:after="100" w:afterAutospacing="1" w:line="360" w:lineRule="auto"/>
        <w:jc w:val="both"/>
        <w:rPr>
          <w:rFonts w:ascii="Palatino Linotype" w:hAnsi="Palatino Linotype" w:cs="Arial"/>
        </w:rPr>
      </w:pPr>
      <w:r w:rsidRPr="007B291C">
        <w:rPr>
          <w:rFonts w:ascii="Palatino Linotype" w:hAnsi="Palatino Linotype" w:cs="Arial"/>
        </w:rPr>
        <w:t xml:space="preserve">De las constancias que obran en el </w:t>
      </w:r>
      <w:r w:rsidRPr="007B291C">
        <w:rPr>
          <w:rFonts w:ascii="Palatino Linotype" w:hAnsi="Palatino Linotype" w:cs="Arial"/>
          <w:b/>
        </w:rPr>
        <w:t xml:space="preserve">SAIMEX, </w:t>
      </w:r>
      <w:r w:rsidRPr="007B291C">
        <w:rPr>
          <w:rFonts w:ascii="Palatino Linotype" w:hAnsi="Palatino Linotype" w:cs="Arial"/>
        </w:rPr>
        <w:t xml:space="preserve">se advierte que, </w:t>
      </w:r>
      <w:r w:rsidRPr="007B291C">
        <w:rPr>
          <w:rFonts w:ascii="Palatino Linotype" w:hAnsi="Palatino Linotype" w:cs="Arial"/>
          <w:b/>
        </w:rPr>
        <w:t>EL SUJETO OBLIGADO</w:t>
      </w:r>
      <w:r w:rsidRPr="007B291C">
        <w:rPr>
          <w:rFonts w:ascii="Palatino Linotype" w:hAnsi="Palatino Linotype" w:cs="Arial"/>
        </w:rPr>
        <w:t xml:space="preserve"> </w:t>
      </w:r>
      <w:r w:rsidR="003D3414" w:rsidRPr="007B291C">
        <w:rPr>
          <w:rFonts w:ascii="Palatino Linotype" w:hAnsi="Palatino Linotype" w:cs="Arial"/>
        </w:rPr>
        <w:t>en</w:t>
      </w:r>
      <w:r w:rsidRPr="007B291C">
        <w:rPr>
          <w:rFonts w:ascii="Palatino Linotype" w:hAnsi="Palatino Linotype" w:cs="Arial"/>
        </w:rPr>
        <w:t xml:space="preserve"> </w:t>
      </w:r>
      <w:r w:rsidR="00BB23A9">
        <w:rPr>
          <w:rFonts w:ascii="Palatino Linotype" w:hAnsi="Palatino Linotype" w:cs="Arial"/>
        </w:rPr>
        <w:t xml:space="preserve">sus </w:t>
      </w:r>
      <w:r w:rsidRPr="007B291C">
        <w:rPr>
          <w:rFonts w:ascii="Palatino Linotype" w:hAnsi="Palatino Linotype" w:cs="Arial"/>
        </w:rPr>
        <w:t>respuesta</w:t>
      </w:r>
      <w:r w:rsidR="00BB23A9">
        <w:rPr>
          <w:rFonts w:ascii="Palatino Linotype" w:hAnsi="Palatino Linotype" w:cs="Arial"/>
        </w:rPr>
        <w:t>s</w:t>
      </w:r>
      <w:r w:rsidR="003D3414" w:rsidRPr="007B291C">
        <w:rPr>
          <w:rFonts w:ascii="Palatino Linotype" w:hAnsi="Palatino Linotype" w:cs="Arial"/>
        </w:rPr>
        <w:t xml:space="preserve"> </w:t>
      </w:r>
      <w:r w:rsidR="00432118">
        <w:rPr>
          <w:rFonts w:ascii="Palatino Linotype" w:hAnsi="Palatino Linotype" w:cs="Arial"/>
        </w:rPr>
        <w:t>informó</w:t>
      </w:r>
      <w:r w:rsidR="003E3691" w:rsidRPr="003E3691">
        <w:rPr>
          <w:rFonts w:ascii="Palatino Linotype" w:hAnsi="Palatino Linotype" w:cs="Arial"/>
        </w:rPr>
        <w:t xml:space="preserve"> acerca del tipo de sanciones impuestas a </w:t>
      </w:r>
      <w:proofErr w:type="spellStart"/>
      <w:r w:rsidR="003E3691" w:rsidRPr="003E3691">
        <w:rPr>
          <w:rFonts w:ascii="Palatino Linotype" w:hAnsi="Palatino Linotype" w:cs="Arial"/>
        </w:rPr>
        <w:t>Verificentros</w:t>
      </w:r>
      <w:proofErr w:type="spellEnd"/>
      <w:r w:rsidR="003E3691" w:rsidRPr="003E3691">
        <w:rPr>
          <w:rFonts w:ascii="Palatino Linotype" w:hAnsi="Palatino Linotype" w:cs="Arial"/>
        </w:rPr>
        <w:t>, así como las causales en las que deben de incurrir los centros de verificación vehicular para</w:t>
      </w:r>
      <w:r w:rsidR="003E3691">
        <w:rPr>
          <w:rFonts w:ascii="Palatino Linotype" w:hAnsi="Palatino Linotype" w:cs="Arial"/>
        </w:rPr>
        <w:t xml:space="preserve"> hacerse acreedores a una multa, y po</w:t>
      </w:r>
      <w:r w:rsidR="003E3691" w:rsidRPr="003E3691">
        <w:rPr>
          <w:rFonts w:ascii="Palatino Linotype" w:hAnsi="Palatino Linotype" w:cs="Arial"/>
        </w:rPr>
        <w:t xml:space="preserve">r otro lado </w:t>
      </w:r>
      <w:r w:rsidR="003E3691">
        <w:rPr>
          <w:rFonts w:ascii="Palatino Linotype" w:hAnsi="Palatino Linotype" w:cs="Arial"/>
        </w:rPr>
        <w:t xml:space="preserve">hizo mención </w:t>
      </w:r>
      <w:r w:rsidR="003E3691" w:rsidRPr="003E3691">
        <w:rPr>
          <w:rFonts w:ascii="Palatino Linotype" w:hAnsi="Palatino Linotype" w:cs="Arial"/>
        </w:rPr>
        <w:t>que no cuenta con la información con el grado de detalle requerido, señalando para tal efecto que no está compelido como sujeto obligado a procesar la información ni a presentarla conforme al interés del solicitante</w:t>
      </w:r>
      <w:r w:rsidR="003E3691">
        <w:rPr>
          <w:rFonts w:ascii="Palatino Linotype" w:hAnsi="Palatino Linotype" w:cs="Arial"/>
        </w:rPr>
        <w:t xml:space="preserve">. </w:t>
      </w:r>
      <w:r w:rsidR="003E3691">
        <w:rPr>
          <w:rFonts w:ascii="Palatino Linotype" w:hAnsi="Palatino Linotype" w:cs="Arial"/>
          <w:color w:val="000000" w:themeColor="text1"/>
        </w:rPr>
        <w:t>Asimismo,</w:t>
      </w:r>
      <w:r w:rsidR="003E3691" w:rsidRPr="00E10A5A">
        <w:rPr>
          <w:rFonts w:ascii="Palatino Linotype" w:hAnsi="Palatino Linotype" w:cs="Arial"/>
          <w:color w:val="000000" w:themeColor="text1"/>
        </w:rPr>
        <w:t xml:space="preserve"> señalo que la información se encontraba clasificada como reservada, hasta en tanto no cause ejecutoria, conforme a lo señalado por el artículo 140</w:t>
      </w:r>
      <w:r w:rsidR="00432118">
        <w:rPr>
          <w:rFonts w:ascii="Palatino Linotype" w:hAnsi="Palatino Linotype" w:cs="Arial"/>
          <w:color w:val="000000" w:themeColor="text1"/>
        </w:rPr>
        <w:t>,</w:t>
      </w:r>
      <w:r w:rsidR="003E3691" w:rsidRPr="00E10A5A">
        <w:rPr>
          <w:rFonts w:ascii="Palatino Linotype" w:hAnsi="Palatino Linotype" w:cs="Arial"/>
          <w:color w:val="000000" w:themeColor="text1"/>
        </w:rPr>
        <w:t xml:space="preserve"> fracciones V-I</w:t>
      </w:r>
      <w:r w:rsidR="00432118">
        <w:rPr>
          <w:rFonts w:ascii="Palatino Linotype" w:hAnsi="Palatino Linotype" w:cs="Arial"/>
          <w:color w:val="000000" w:themeColor="text1"/>
        </w:rPr>
        <w:t>,</w:t>
      </w:r>
      <w:r w:rsidR="003E3691" w:rsidRPr="00E10A5A">
        <w:rPr>
          <w:rFonts w:ascii="Palatino Linotype" w:hAnsi="Palatino Linotype" w:cs="Arial"/>
          <w:color w:val="000000" w:themeColor="text1"/>
        </w:rPr>
        <w:t xml:space="preserve"> VIII y X de la Ley de Transparencia y Acceso a la Información Pública del Est</w:t>
      </w:r>
      <w:r w:rsidR="003E3691">
        <w:rPr>
          <w:rFonts w:ascii="Palatino Linotype" w:hAnsi="Palatino Linotype" w:cs="Arial"/>
          <w:color w:val="000000" w:themeColor="text1"/>
        </w:rPr>
        <w:t>ado de México</w:t>
      </w:r>
    </w:p>
    <w:p w:rsidR="004F0BA3" w:rsidRPr="007B291C" w:rsidRDefault="00F7009C" w:rsidP="007B291C">
      <w:pPr>
        <w:spacing w:before="100" w:beforeAutospacing="1" w:after="100" w:afterAutospacing="1" w:line="360" w:lineRule="auto"/>
        <w:jc w:val="both"/>
        <w:rPr>
          <w:rFonts w:ascii="Palatino Linotype" w:hAnsi="Palatino Linotype" w:cs="Arial"/>
        </w:rPr>
      </w:pPr>
      <w:r w:rsidRPr="007B291C">
        <w:rPr>
          <w:rFonts w:ascii="Palatino Linotype" w:hAnsi="Palatino Linotype"/>
          <w:color w:val="000000"/>
          <w:lang w:eastAsia="es-MX"/>
        </w:rPr>
        <w:t>Inconforme con la</w:t>
      </w:r>
      <w:r w:rsidR="003E3691">
        <w:rPr>
          <w:rFonts w:ascii="Palatino Linotype" w:hAnsi="Palatino Linotype"/>
          <w:color w:val="000000"/>
          <w:lang w:eastAsia="es-MX"/>
        </w:rPr>
        <w:t>s</w:t>
      </w:r>
      <w:r w:rsidRPr="007B291C">
        <w:rPr>
          <w:rFonts w:ascii="Palatino Linotype" w:hAnsi="Palatino Linotype"/>
          <w:color w:val="000000"/>
          <w:lang w:eastAsia="es-MX"/>
        </w:rPr>
        <w:t xml:space="preserve"> respuesta</w:t>
      </w:r>
      <w:r w:rsidR="003E3691">
        <w:rPr>
          <w:rFonts w:ascii="Palatino Linotype" w:hAnsi="Palatino Linotype"/>
          <w:color w:val="000000"/>
          <w:lang w:eastAsia="es-MX"/>
        </w:rPr>
        <w:t>s</w:t>
      </w:r>
      <w:r w:rsidRPr="007B291C">
        <w:rPr>
          <w:rFonts w:ascii="Palatino Linotype" w:hAnsi="Palatino Linotype"/>
          <w:color w:val="000000"/>
          <w:lang w:eastAsia="es-MX"/>
        </w:rPr>
        <w:t xml:space="preserve"> proporcionada</w:t>
      </w:r>
      <w:r w:rsidR="003E3691">
        <w:rPr>
          <w:rFonts w:ascii="Palatino Linotype" w:hAnsi="Palatino Linotype"/>
          <w:color w:val="000000"/>
          <w:lang w:eastAsia="es-MX"/>
        </w:rPr>
        <w:t>s</w:t>
      </w:r>
      <w:r w:rsidRPr="007B291C">
        <w:rPr>
          <w:rFonts w:ascii="Palatino Linotype" w:hAnsi="Palatino Linotype"/>
          <w:color w:val="000000"/>
          <w:lang w:eastAsia="es-MX"/>
        </w:rPr>
        <w:t xml:space="preserve"> por </w:t>
      </w:r>
      <w:r w:rsidRPr="007B291C">
        <w:rPr>
          <w:rFonts w:ascii="Palatino Linotype" w:hAnsi="Palatino Linotype"/>
          <w:b/>
          <w:color w:val="000000"/>
          <w:lang w:eastAsia="es-MX"/>
        </w:rPr>
        <w:t>EL SUJETO OBLIGADO,</w:t>
      </w:r>
      <w:r w:rsidRPr="007B291C">
        <w:rPr>
          <w:rFonts w:ascii="Palatino Linotype" w:hAnsi="Palatino Linotype"/>
          <w:color w:val="000000"/>
          <w:lang w:eastAsia="es-MX"/>
        </w:rPr>
        <w:t xml:space="preserve"> </w:t>
      </w:r>
      <w:r w:rsidR="00A52D06" w:rsidRPr="007B291C">
        <w:rPr>
          <w:rFonts w:ascii="Palatino Linotype" w:hAnsi="Palatino Linotype"/>
          <w:b/>
          <w:color w:val="000000"/>
          <w:lang w:eastAsia="es-MX"/>
        </w:rPr>
        <w:t>EL</w:t>
      </w:r>
      <w:r w:rsidRPr="007B291C">
        <w:rPr>
          <w:rFonts w:ascii="Palatino Linotype" w:hAnsi="Palatino Linotype"/>
          <w:b/>
          <w:color w:val="000000"/>
          <w:lang w:eastAsia="es-MX"/>
        </w:rPr>
        <w:t xml:space="preserve"> </w:t>
      </w:r>
      <w:r w:rsidR="006B59E1" w:rsidRPr="007B291C">
        <w:rPr>
          <w:rFonts w:ascii="Palatino Linotype" w:hAnsi="Palatino Linotype"/>
          <w:b/>
          <w:color w:val="000000"/>
          <w:lang w:eastAsia="es-MX"/>
        </w:rPr>
        <w:t>RECURRENTE</w:t>
      </w:r>
      <w:r w:rsidR="006B59E1" w:rsidRPr="007B291C">
        <w:rPr>
          <w:rFonts w:ascii="Palatino Linotype" w:hAnsi="Palatino Linotype"/>
          <w:color w:val="000000"/>
          <w:lang w:eastAsia="es-MX"/>
        </w:rPr>
        <w:t xml:space="preserve"> </w:t>
      </w:r>
      <w:r w:rsidRPr="007B291C">
        <w:rPr>
          <w:rFonts w:ascii="Palatino Linotype" w:hAnsi="Palatino Linotype" w:cs="Arial"/>
        </w:rPr>
        <w:t>interpuso el recurso de revisión de mérito</w:t>
      </w:r>
      <w:r w:rsidR="002B0148" w:rsidRPr="007B291C">
        <w:rPr>
          <w:rFonts w:ascii="Palatino Linotype" w:hAnsi="Palatino Linotype" w:cs="Arial"/>
        </w:rPr>
        <w:t xml:space="preserve">. </w:t>
      </w:r>
    </w:p>
    <w:p w:rsidR="006D21B1" w:rsidRPr="007B291C" w:rsidRDefault="00F7009C" w:rsidP="007B291C">
      <w:pPr>
        <w:spacing w:before="100" w:beforeAutospacing="1" w:after="100" w:afterAutospacing="1" w:line="360" w:lineRule="auto"/>
        <w:jc w:val="both"/>
        <w:rPr>
          <w:rFonts w:ascii="Palatino Linotype" w:hAnsi="Palatino Linotype" w:cs="Arial"/>
        </w:rPr>
      </w:pPr>
      <w:r w:rsidRPr="007B291C">
        <w:rPr>
          <w:rFonts w:ascii="Palatino Linotype" w:hAnsi="Palatino Linotype" w:cs="Arial"/>
        </w:rPr>
        <w:t xml:space="preserve">Así, del </w:t>
      </w:r>
      <w:r w:rsidR="004E729A" w:rsidRPr="007B291C">
        <w:rPr>
          <w:rFonts w:ascii="Palatino Linotype" w:hAnsi="Palatino Linotype" w:cs="Arial"/>
        </w:rPr>
        <w:t>análisis</w:t>
      </w:r>
      <w:r w:rsidRPr="007B291C">
        <w:rPr>
          <w:rFonts w:ascii="Palatino Linotype" w:hAnsi="Palatino Linotype" w:cs="Arial"/>
        </w:rPr>
        <w:t xml:space="preserve"> de</w:t>
      </w:r>
      <w:r w:rsidR="004E729A" w:rsidRPr="007B291C">
        <w:rPr>
          <w:rFonts w:ascii="Palatino Linotype" w:hAnsi="Palatino Linotype" w:cs="Arial"/>
        </w:rPr>
        <w:t xml:space="preserve"> la totalidad de las constancias que conforman el </w:t>
      </w:r>
      <w:r w:rsidRPr="007B291C">
        <w:rPr>
          <w:rFonts w:ascii="Palatino Linotype" w:hAnsi="Palatino Linotype" w:cs="Arial"/>
        </w:rPr>
        <w:t>expediente electrónico</w:t>
      </w:r>
      <w:r w:rsidRPr="007B291C">
        <w:rPr>
          <w:rFonts w:ascii="Palatino Linotype" w:hAnsi="Palatino Linotype" w:cs="Arial"/>
          <w:b/>
        </w:rPr>
        <w:t>,</w:t>
      </w:r>
      <w:r w:rsidRPr="007B291C">
        <w:rPr>
          <w:rFonts w:ascii="Palatino Linotype" w:hAnsi="Palatino Linotype" w:cs="Arial"/>
        </w:rPr>
        <w:t xml:space="preserve"> la Ponencia </w:t>
      </w:r>
      <w:proofErr w:type="spellStart"/>
      <w:r w:rsidRPr="007B291C">
        <w:rPr>
          <w:rFonts w:ascii="Palatino Linotype" w:hAnsi="Palatino Linotype" w:cs="Arial"/>
        </w:rPr>
        <w:t>Resolutora</w:t>
      </w:r>
      <w:proofErr w:type="spellEnd"/>
      <w:r w:rsidRPr="007B291C">
        <w:rPr>
          <w:rFonts w:ascii="Palatino Linotype" w:hAnsi="Palatino Linotype" w:cs="Arial"/>
        </w:rPr>
        <w:t xml:space="preserve"> determinó </w:t>
      </w:r>
      <w:r w:rsidR="001E2C98" w:rsidRPr="007B291C">
        <w:rPr>
          <w:rFonts w:ascii="Palatino Linotype" w:hAnsi="Palatino Linotype" w:cs="Arial"/>
          <w:b/>
        </w:rPr>
        <w:t>MODIFICAR</w:t>
      </w:r>
      <w:r w:rsidRPr="007B291C">
        <w:rPr>
          <w:rFonts w:ascii="Palatino Linotype" w:hAnsi="Palatino Linotype" w:cs="Arial"/>
          <w:b/>
        </w:rPr>
        <w:t xml:space="preserve"> </w:t>
      </w:r>
      <w:r w:rsidRPr="007B291C">
        <w:rPr>
          <w:rFonts w:ascii="Palatino Linotype" w:hAnsi="Palatino Linotype" w:cs="Arial"/>
        </w:rPr>
        <w:t>la</w:t>
      </w:r>
      <w:r w:rsidR="003E3691">
        <w:rPr>
          <w:rFonts w:ascii="Palatino Linotype" w:hAnsi="Palatino Linotype" w:cs="Arial"/>
        </w:rPr>
        <w:t>s</w:t>
      </w:r>
      <w:r w:rsidRPr="007B291C">
        <w:rPr>
          <w:rFonts w:ascii="Palatino Linotype" w:hAnsi="Palatino Linotype" w:cs="Arial"/>
        </w:rPr>
        <w:t xml:space="preserve"> respuesta</w:t>
      </w:r>
      <w:r w:rsidR="003E3691">
        <w:rPr>
          <w:rFonts w:ascii="Palatino Linotype" w:hAnsi="Palatino Linotype" w:cs="Arial"/>
        </w:rPr>
        <w:t>s</w:t>
      </w:r>
      <w:r w:rsidRPr="007B291C">
        <w:rPr>
          <w:rFonts w:ascii="Palatino Linotype" w:hAnsi="Palatino Linotype" w:cs="Arial"/>
        </w:rPr>
        <w:t xml:space="preserve"> del </w:t>
      </w:r>
      <w:r w:rsidRPr="007B291C">
        <w:rPr>
          <w:rFonts w:ascii="Palatino Linotype" w:hAnsi="Palatino Linotype" w:cs="Arial"/>
          <w:b/>
        </w:rPr>
        <w:t>SUJETO OBLIGADO</w:t>
      </w:r>
      <w:r w:rsidR="001E2C98" w:rsidRPr="007B291C">
        <w:rPr>
          <w:rFonts w:ascii="Palatino Linotype" w:hAnsi="Palatino Linotype" w:cs="Arial"/>
          <w:b/>
        </w:rPr>
        <w:t xml:space="preserve"> </w:t>
      </w:r>
      <w:r w:rsidR="001E2C98" w:rsidRPr="007B291C">
        <w:rPr>
          <w:rFonts w:ascii="Palatino Linotype" w:hAnsi="Palatino Linotype" w:cs="Arial"/>
        </w:rPr>
        <w:t xml:space="preserve">y ordenó la entrega vía </w:t>
      </w:r>
      <w:r w:rsidR="003E3691">
        <w:rPr>
          <w:rFonts w:ascii="Palatino Linotype" w:hAnsi="Palatino Linotype" w:cs="Arial"/>
        </w:rPr>
        <w:t>consulta directa</w:t>
      </w:r>
      <w:r w:rsidR="001E2C98" w:rsidRPr="007B291C">
        <w:rPr>
          <w:rFonts w:ascii="Palatino Linotype" w:hAnsi="Palatino Linotype" w:cs="Arial"/>
        </w:rPr>
        <w:t>,</w:t>
      </w:r>
      <w:r w:rsidR="003E3691">
        <w:rPr>
          <w:rFonts w:ascii="Palatino Linotype" w:hAnsi="Palatino Linotype" w:cs="Arial"/>
        </w:rPr>
        <w:t xml:space="preserve"> en versión pública, la siguiente información</w:t>
      </w:r>
      <w:r w:rsidR="00F1579C">
        <w:rPr>
          <w:rFonts w:ascii="Palatino Linotype" w:hAnsi="Palatino Linotype" w:cs="Arial"/>
        </w:rPr>
        <w:t>:</w:t>
      </w:r>
    </w:p>
    <w:p w:rsidR="003E3691" w:rsidRPr="003E3691" w:rsidRDefault="003E3691" w:rsidP="003E3691">
      <w:pPr>
        <w:pStyle w:val="Prrafodelista"/>
        <w:autoSpaceDE w:val="0"/>
        <w:autoSpaceDN w:val="0"/>
        <w:adjustRightInd w:val="0"/>
        <w:ind w:left="851" w:right="902"/>
        <w:jc w:val="both"/>
        <w:rPr>
          <w:rFonts w:ascii="Palatino Linotype" w:hAnsi="Palatino Linotype" w:cs="Arial"/>
          <w:i/>
          <w:sz w:val="22"/>
        </w:rPr>
      </w:pPr>
      <w:r w:rsidRPr="003E3691">
        <w:rPr>
          <w:rFonts w:ascii="Palatino Linotype" w:hAnsi="Palatino Linotype" w:cs="Arial"/>
          <w:i/>
          <w:sz w:val="22"/>
        </w:rPr>
        <w:lastRenderedPageBreak/>
        <w:t>a.</w:t>
      </w:r>
      <w:r w:rsidRPr="003E3691">
        <w:rPr>
          <w:rFonts w:ascii="Palatino Linotype" w:hAnsi="Palatino Linotype" w:cs="Arial"/>
          <w:i/>
          <w:sz w:val="22"/>
        </w:rPr>
        <w:tab/>
        <w:t>Expedientes en los que se hayan impuesto sanciones  a Centros de Verificación Vehicular del periodo comprendido del uno (01) enero de 2012 al veintitrés (23) de noviembre de 2018; y,</w:t>
      </w:r>
    </w:p>
    <w:p w:rsidR="003E3691" w:rsidRPr="003E3691" w:rsidRDefault="003E3691" w:rsidP="003E3691">
      <w:pPr>
        <w:pStyle w:val="Prrafodelista"/>
        <w:autoSpaceDE w:val="0"/>
        <w:autoSpaceDN w:val="0"/>
        <w:adjustRightInd w:val="0"/>
        <w:ind w:left="851" w:right="902"/>
        <w:jc w:val="both"/>
        <w:rPr>
          <w:rFonts w:ascii="Palatino Linotype" w:hAnsi="Palatino Linotype" w:cs="Arial"/>
          <w:i/>
          <w:sz w:val="22"/>
        </w:rPr>
      </w:pPr>
    </w:p>
    <w:p w:rsidR="003E3691" w:rsidRPr="003E3691" w:rsidRDefault="003E3691" w:rsidP="003E3691">
      <w:pPr>
        <w:pStyle w:val="Prrafodelista"/>
        <w:autoSpaceDE w:val="0"/>
        <w:autoSpaceDN w:val="0"/>
        <w:adjustRightInd w:val="0"/>
        <w:ind w:left="851" w:right="902"/>
        <w:jc w:val="both"/>
        <w:rPr>
          <w:rFonts w:ascii="Palatino Linotype" w:hAnsi="Palatino Linotype" w:cs="Arial"/>
          <w:i/>
          <w:sz w:val="22"/>
        </w:rPr>
      </w:pPr>
      <w:r w:rsidRPr="003E3691">
        <w:rPr>
          <w:rFonts w:ascii="Palatino Linotype" w:hAnsi="Palatino Linotype" w:cs="Arial"/>
          <w:i/>
          <w:sz w:val="22"/>
        </w:rPr>
        <w:t>b.</w:t>
      </w:r>
      <w:r w:rsidRPr="003E3691">
        <w:rPr>
          <w:rFonts w:ascii="Palatino Linotype" w:hAnsi="Palatino Linotype" w:cs="Arial"/>
          <w:i/>
          <w:sz w:val="22"/>
        </w:rPr>
        <w:tab/>
        <w:t>Acuerdo que clasifique como información reservada  únicamente los expedientes iniciados en contra de Centros de Verificación Vehicular del uno (01) enero de 2012 al veintitrés (23) de noviembre de 2018, que aún no han causado estado.</w:t>
      </w:r>
    </w:p>
    <w:p w:rsidR="003E3691" w:rsidRPr="003E3691" w:rsidRDefault="003E3691" w:rsidP="003E3691">
      <w:pPr>
        <w:pStyle w:val="Prrafodelista"/>
        <w:autoSpaceDE w:val="0"/>
        <w:autoSpaceDN w:val="0"/>
        <w:adjustRightInd w:val="0"/>
        <w:ind w:left="851" w:right="902"/>
        <w:jc w:val="both"/>
        <w:rPr>
          <w:rFonts w:ascii="Palatino Linotype" w:hAnsi="Palatino Linotype" w:cs="Arial"/>
          <w:i/>
          <w:sz w:val="22"/>
        </w:rPr>
      </w:pPr>
    </w:p>
    <w:p w:rsidR="003E3691" w:rsidRPr="003E3691" w:rsidRDefault="003E3691" w:rsidP="003E3691">
      <w:pPr>
        <w:pStyle w:val="Prrafodelista"/>
        <w:autoSpaceDE w:val="0"/>
        <w:autoSpaceDN w:val="0"/>
        <w:adjustRightInd w:val="0"/>
        <w:ind w:left="851" w:right="902"/>
        <w:jc w:val="both"/>
        <w:rPr>
          <w:rFonts w:ascii="Palatino Linotype" w:hAnsi="Palatino Linotype" w:cs="Arial"/>
          <w:i/>
          <w:sz w:val="22"/>
        </w:rPr>
      </w:pPr>
      <w:r w:rsidRPr="003E3691">
        <w:rPr>
          <w:rFonts w:ascii="Palatino Linotype" w:hAnsi="Palatino Linotype" w:cs="Arial"/>
          <w:i/>
          <w:sz w:val="22"/>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rsidR="003E3691" w:rsidRPr="003E3691" w:rsidRDefault="003E3691" w:rsidP="003E3691">
      <w:pPr>
        <w:pStyle w:val="Prrafodelista"/>
        <w:autoSpaceDE w:val="0"/>
        <w:autoSpaceDN w:val="0"/>
        <w:adjustRightInd w:val="0"/>
        <w:ind w:left="851" w:right="902"/>
        <w:jc w:val="both"/>
        <w:rPr>
          <w:rFonts w:ascii="Palatino Linotype" w:hAnsi="Palatino Linotype" w:cs="Arial"/>
          <w:i/>
          <w:sz w:val="22"/>
        </w:rPr>
      </w:pPr>
    </w:p>
    <w:p w:rsidR="00F1579C" w:rsidRPr="00663480" w:rsidRDefault="003E3691" w:rsidP="003E3691">
      <w:pPr>
        <w:pStyle w:val="Prrafodelista"/>
        <w:autoSpaceDE w:val="0"/>
        <w:autoSpaceDN w:val="0"/>
        <w:adjustRightInd w:val="0"/>
        <w:ind w:left="851" w:right="902"/>
        <w:contextualSpacing w:val="0"/>
        <w:jc w:val="both"/>
        <w:rPr>
          <w:rFonts w:ascii="Palatino Linotype" w:hAnsi="Palatino Linotype" w:cs="Arial"/>
        </w:rPr>
      </w:pPr>
      <w:r w:rsidRPr="003E3691">
        <w:rPr>
          <w:rFonts w:ascii="Palatino Linotype" w:hAnsi="Palatino Linotype" w:cs="Arial"/>
          <w:i/>
          <w:sz w:val="22"/>
        </w:rPr>
        <w:t>El SUJETO OBLIGADO deberá indicar al recurrente el lugar, día y horas hábiles para realizar la consulta directa de la información en versión pública y la pueda tener a su disposición en la fecha y hora indicada.</w:t>
      </w:r>
    </w:p>
    <w:p w:rsidR="001E2C98" w:rsidRPr="007B291C" w:rsidRDefault="001E2C98" w:rsidP="007B291C">
      <w:pPr>
        <w:spacing w:before="100" w:beforeAutospacing="1" w:after="100" w:afterAutospacing="1" w:line="360" w:lineRule="auto"/>
        <w:ind w:right="49"/>
        <w:jc w:val="both"/>
        <w:rPr>
          <w:rFonts w:ascii="Palatino Linotype" w:hAnsi="Palatino Linotype" w:cs="Arial"/>
        </w:rPr>
      </w:pPr>
      <w:r w:rsidRPr="007B291C">
        <w:rPr>
          <w:rFonts w:ascii="Palatino Linotype" w:hAnsi="Palatino Linotype" w:cs="Arial"/>
        </w:rPr>
        <w:t xml:space="preserve">En ese sentido, la que suscribe reitera, que si bien coincide en términos generales con el sentido de la resolución en comento, considero, que no se encuadra la hipótesis contenida en los artículos 159 y 160 de la Ley General de Transparencia y Acceso a la Información Pública citados por la Ponencia </w:t>
      </w:r>
      <w:proofErr w:type="spellStart"/>
      <w:r w:rsidRPr="007B291C">
        <w:rPr>
          <w:rFonts w:ascii="Palatino Linotype" w:hAnsi="Palatino Linotype" w:cs="Arial"/>
        </w:rPr>
        <w:t>Resolutora</w:t>
      </w:r>
      <w:proofErr w:type="spellEnd"/>
      <w:r w:rsidRPr="007B291C">
        <w:rPr>
          <w:rFonts w:ascii="Palatino Linotype" w:hAnsi="Palatino Linotype" w:cs="Arial"/>
        </w:rPr>
        <w:t xml:space="preserve"> en el Resolutivo </w:t>
      </w:r>
      <w:r w:rsidR="003E3691">
        <w:rPr>
          <w:rFonts w:ascii="Palatino Linotype" w:hAnsi="Palatino Linotype" w:cs="Arial"/>
        </w:rPr>
        <w:t xml:space="preserve">QUINTO </w:t>
      </w:r>
      <w:r w:rsidRPr="007B291C">
        <w:rPr>
          <w:rFonts w:ascii="Palatino Linotype" w:hAnsi="Palatino Linotype" w:cs="Arial"/>
        </w:rPr>
        <w:t>de la resolución de mérito, a fin de interponer el recurso de inconformidad ante el Instituto Nacional de Transparencia, Acceso a la Información y Protección de Datos Personales.</w:t>
      </w:r>
    </w:p>
    <w:p w:rsidR="001E2C98" w:rsidRPr="007B291C" w:rsidRDefault="001E2C98" w:rsidP="007B291C">
      <w:pPr>
        <w:spacing w:before="100" w:beforeAutospacing="1" w:after="100" w:afterAutospacing="1" w:line="360" w:lineRule="auto"/>
        <w:ind w:right="49"/>
        <w:jc w:val="both"/>
        <w:rPr>
          <w:rFonts w:ascii="Palatino Linotype" w:hAnsi="Palatino Linotype" w:cs="Arial"/>
        </w:rPr>
      </w:pPr>
      <w:r w:rsidRPr="007B291C">
        <w:rPr>
          <w:rFonts w:ascii="Palatino Linotype" w:hAnsi="Palatino Linotype" w:cs="Arial"/>
        </w:rPr>
        <w:t xml:space="preserve">En ese contexto, conviene precisar que los artículos 159 y 160 de la Ley General, se encuentran inmersos en el Título Octavo de la Ley en cita, denominado “De los Procedimientos de Impugnación en Materia de Acceso a la Información Pública”, </w:t>
      </w:r>
      <w:r w:rsidRPr="007B291C">
        <w:rPr>
          <w:rFonts w:ascii="Palatino Linotype" w:hAnsi="Palatino Linotype" w:cs="Arial"/>
        </w:rPr>
        <w:lastRenderedPageBreak/>
        <w:t>específicamente en el Capítulo II “Del Recurso de Inconformidad ante el Instituto”, los cuales nos hacen mención de las instancias ante las cuales se podrá interponer el recurso de inconformidad y los supuestos legales en los que procede, tal y como se aprecia a continuación:</w:t>
      </w:r>
    </w:p>
    <w:p w:rsidR="001E2C98" w:rsidRPr="007B291C" w:rsidRDefault="001E2C98" w:rsidP="007B291C">
      <w:pPr>
        <w:ind w:left="851" w:right="902"/>
        <w:jc w:val="both"/>
        <w:rPr>
          <w:rFonts w:ascii="Palatino Linotype" w:hAnsi="Palatino Linotype"/>
          <w:i/>
          <w:sz w:val="22"/>
        </w:rPr>
      </w:pPr>
      <w:r w:rsidRPr="007B291C">
        <w:rPr>
          <w:rFonts w:ascii="Palatino Linotype" w:hAnsi="Palatino Linotype"/>
          <w:i/>
          <w:sz w:val="22"/>
        </w:rPr>
        <w:t>“</w:t>
      </w:r>
      <w:r w:rsidRPr="007B291C">
        <w:rPr>
          <w:rFonts w:ascii="Palatino Linotype" w:hAnsi="Palatino Linotype"/>
          <w:b/>
          <w:i/>
          <w:sz w:val="22"/>
        </w:rPr>
        <w:t>Artículo 159</w:t>
      </w:r>
      <w:r w:rsidRPr="007B291C">
        <w:rPr>
          <w:rFonts w:ascii="Palatino Linotype" w:hAnsi="Palatino Linotype"/>
          <w:i/>
          <w:sz w:val="22"/>
        </w:rPr>
        <w:t>. Tratándose de las resoluciones a los recursos de revisión de los Organismos garantes de las Entidades Federativas, los particulares podrán optar por acudir ante el Instituto o ante el Poder Judicial de la Federación.</w:t>
      </w:r>
    </w:p>
    <w:p w:rsidR="001E2C98" w:rsidRPr="007B291C" w:rsidRDefault="001E2C98" w:rsidP="007B291C">
      <w:pPr>
        <w:ind w:left="851" w:right="902"/>
        <w:jc w:val="both"/>
        <w:rPr>
          <w:rFonts w:ascii="Palatino Linotype" w:hAnsi="Palatino Linotype"/>
          <w:i/>
          <w:sz w:val="22"/>
        </w:rPr>
      </w:pPr>
      <w:r w:rsidRPr="007B291C">
        <w:rPr>
          <w:rFonts w:ascii="Palatino Linotype" w:hAnsi="Palatino Linotype"/>
          <w:b/>
          <w:i/>
          <w:sz w:val="22"/>
        </w:rPr>
        <w:t>Artículo 160</w:t>
      </w:r>
      <w:r w:rsidRPr="007B291C">
        <w:rPr>
          <w:rFonts w:ascii="Palatino Linotype" w:hAnsi="Palatino Linotype"/>
          <w:i/>
          <w:sz w:val="22"/>
        </w:rPr>
        <w:t>. El recurso de inconformidad procede contra las resoluciones emitidas por los Organismos garantes de las Entidades Federativas que:</w:t>
      </w:r>
    </w:p>
    <w:p w:rsidR="001E2C98" w:rsidRPr="007B291C" w:rsidRDefault="001E2C98" w:rsidP="007B291C">
      <w:pPr>
        <w:ind w:left="851" w:right="902"/>
        <w:jc w:val="both"/>
        <w:rPr>
          <w:rFonts w:ascii="Palatino Linotype" w:hAnsi="Palatino Linotype"/>
          <w:b/>
          <w:i/>
          <w:sz w:val="22"/>
        </w:rPr>
      </w:pPr>
      <w:r w:rsidRPr="007B291C">
        <w:rPr>
          <w:rFonts w:ascii="Palatino Linotype" w:hAnsi="Palatino Linotype"/>
          <w:b/>
          <w:i/>
          <w:sz w:val="22"/>
        </w:rPr>
        <w:t>I.</w:t>
      </w:r>
      <w:r w:rsidRPr="007B291C">
        <w:rPr>
          <w:rFonts w:ascii="Palatino Linotype" w:hAnsi="Palatino Linotype"/>
          <w:i/>
          <w:sz w:val="22"/>
        </w:rPr>
        <w:tab/>
      </w:r>
      <w:r w:rsidRPr="007B291C">
        <w:rPr>
          <w:rFonts w:ascii="Palatino Linotype" w:hAnsi="Palatino Linotype"/>
          <w:b/>
          <w:i/>
          <w:sz w:val="22"/>
        </w:rPr>
        <w:t>Confirmen o modifiquen la clasificación de la información, o</w:t>
      </w:r>
    </w:p>
    <w:p w:rsidR="001E2C98" w:rsidRPr="005E093F" w:rsidRDefault="001E2C98" w:rsidP="007B291C">
      <w:pPr>
        <w:ind w:left="851" w:right="902"/>
        <w:jc w:val="both"/>
        <w:rPr>
          <w:rFonts w:ascii="Palatino Linotype" w:hAnsi="Palatino Linotype"/>
          <w:i/>
          <w:sz w:val="22"/>
        </w:rPr>
      </w:pPr>
      <w:r w:rsidRPr="005E093F">
        <w:rPr>
          <w:rFonts w:ascii="Palatino Linotype" w:hAnsi="Palatino Linotype"/>
          <w:i/>
          <w:sz w:val="22"/>
        </w:rPr>
        <w:t>II.</w:t>
      </w:r>
      <w:r w:rsidRPr="005E093F">
        <w:rPr>
          <w:rFonts w:ascii="Palatino Linotype" w:hAnsi="Palatino Linotype"/>
          <w:i/>
          <w:sz w:val="22"/>
        </w:rPr>
        <w:tab/>
        <w:t>Confirmen la inexistencia o negativa de información.</w:t>
      </w:r>
    </w:p>
    <w:p w:rsidR="001E2C98" w:rsidRPr="007B291C" w:rsidRDefault="001E2C98" w:rsidP="007B291C">
      <w:pPr>
        <w:ind w:left="851" w:right="902"/>
        <w:jc w:val="both"/>
        <w:rPr>
          <w:rFonts w:ascii="Palatino Linotype" w:hAnsi="Palatino Linotype"/>
          <w:i/>
          <w:sz w:val="22"/>
        </w:rPr>
      </w:pPr>
      <w:r w:rsidRPr="007B291C">
        <w:rPr>
          <w:rFonts w:ascii="Palatino Linotype" w:hAnsi="Palatino Linotype"/>
          <w:i/>
          <w:sz w:val="22"/>
        </w:rPr>
        <w:t>Se entenderá como negativa de acceso a la información la falta de resolución de los Organismos garantes de las Entidades Federativas dentro del plazo previsto para ello.”</w:t>
      </w:r>
    </w:p>
    <w:p w:rsidR="005E093F" w:rsidRDefault="001E2C98" w:rsidP="007B291C">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7B291C">
        <w:rPr>
          <w:rFonts w:ascii="Palatino Linotype" w:hAnsi="Palatino Linotype" w:cs="Arial"/>
        </w:rPr>
        <w:t xml:space="preserve">De lo anterior se advierte que, los artículos en cita no resultan aplicables al asunto en concreto, toda vez que </w:t>
      </w:r>
      <w:r w:rsidRPr="007B291C">
        <w:rPr>
          <w:rFonts w:ascii="Palatino Linotype" w:hAnsi="Palatino Linotype" w:cs="Arial"/>
          <w:b/>
        </w:rPr>
        <w:t>EL</w:t>
      </w:r>
      <w:r w:rsidRPr="007B291C">
        <w:rPr>
          <w:rFonts w:ascii="Palatino Linotype" w:hAnsi="Palatino Linotype" w:cs="Arial"/>
        </w:rPr>
        <w:t xml:space="preserve"> </w:t>
      </w:r>
      <w:r w:rsidRPr="007B291C">
        <w:rPr>
          <w:rFonts w:ascii="Palatino Linotype" w:hAnsi="Palatino Linotype" w:cs="Arial"/>
          <w:b/>
        </w:rPr>
        <w:t>SUJETO OBLIGADO</w:t>
      </w:r>
      <w:r w:rsidRPr="007B291C">
        <w:rPr>
          <w:rFonts w:ascii="Palatino Linotype" w:hAnsi="Palatino Linotype" w:cs="Arial"/>
        </w:rPr>
        <w:t xml:space="preserve"> en su</w:t>
      </w:r>
      <w:r w:rsidR="003E3691">
        <w:rPr>
          <w:rFonts w:ascii="Palatino Linotype" w:hAnsi="Palatino Linotype" w:cs="Arial"/>
        </w:rPr>
        <w:t>s</w:t>
      </w:r>
      <w:r w:rsidRPr="007B291C">
        <w:rPr>
          <w:rFonts w:ascii="Palatino Linotype" w:hAnsi="Palatino Linotype" w:cs="Arial"/>
        </w:rPr>
        <w:t xml:space="preserve"> respuesta</w:t>
      </w:r>
      <w:r w:rsidR="003E3691">
        <w:rPr>
          <w:rFonts w:ascii="Palatino Linotype" w:hAnsi="Palatino Linotype" w:cs="Arial"/>
        </w:rPr>
        <w:t>s</w:t>
      </w:r>
      <w:r w:rsidRPr="007B291C">
        <w:rPr>
          <w:rFonts w:ascii="Palatino Linotype" w:hAnsi="Palatino Linotype" w:cs="Arial"/>
        </w:rPr>
        <w:t xml:space="preserve">, </w:t>
      </w:r>
      <w:r w:rsidR="005E093F">
        <w:rPr>
          <w:rFonts w:ascii="Palatino Linotype" w:hAnsi="Palatino Linotype" w:cs="Arial"/>
        </w:rPr>
        <w:t>si bien mencionó que la información se encontraba clasificada</w:t>
      </w:r>
      <w:r w:rsidR="008B7C6D">
        <w:rPr>
          <w:rFonts w:ascii="Palatino Linotype" w:hAnsi="Palatino Linotype" w:cs="Arial"/>
        </w:rPr>
        <w:t>,</w:t>
      </w:r>
      <w:r w:rsidR="005E093F">
        <w:rPr>
          <w:rFonts w:ascii="Palatino Linotype" w:hAnsi="Palatino Linotype" w:cs="Arial"/>
        </w:rPr>
        <w:t xml:space="preserve"> también lo es que</w:t>
      </w:r>
      <w:r w:rsidR="008B7C6D">
        <w:rPr>
          <w:rFonts w:ascii="Palatino Linotype" w:hAnsi="Palatino Linotype" w:cs="Arial"/>
        </w:rPr>
        <w:t>,</w:t>
      </w:r>
      <w:r w:rsidR="005E093F">
        <w:rPr>
          <w:rFonts w:ascii="Palatino Linotype" w:hAnsi="Palatino Linotype" w:cs="Arial"/>
        </w:rPr>
        <w:t xml:space="preserve"> </w:t>
      </w:r>
      <w:r w:rsidR="003E3691">
        <w:rPr>
          <w:rFonts w:ascii="Palatino Linotype" w:hAnsi="Palatino Linotype" w:cs="Arial"/>
        </w:rPr>
        <w:t xml:space="preserve">en </w:t>
      </w:r>
      <w:r w:rsidR="00432118">
        <w:rPr>
          <w:rFonts w:ascii="Palatino Linotype" w:hAnsi="Palatino Linotype" w:cs="Arial"/>
        </w:rPr>
        <w:t>la misma no adjuntó</w:t>
      </w:r>
      <w:r w:rsidR="003E3691">
        <w:rPr>
          <w:rFonts w:ascii="Palatino Linotype" w:hAnsi="Palatino Linotype" w:cs="Arial"/>
        </w:rPr>
        <w:t xml:space="preserve"> el Acuerdo de Clasificación </w:t>
      </w:r>
      <w:r w:rsidR="005E093F">
        <w:rPr>
          <w:rFonts w:ascii="Palatino Linotype" w:hAnsi="Palatino Linotype" w:cs="Arial"/>
        </w:rPr>
        <w:t>debida</w:t>
      </w:r>
      <w:r w:rsidR="003E3691">
        <w:rPr>
          <w:rFonts w:ascii="Palatino Linotype" w:hAnsi="Palatino Linotype" w:cs="Arial"/>
        </w:rPr>
        <w:t>mente</w:t>
      </w:r>
      <w:r w:rsidR="005E093F">
        <w:rPr>
          <w:rFonts w:ascii="Palatino Linotype" w:hAnsi="Palatino Linotype" w:cs="Arial"/>
        </w:rPr>
        <w:t xml:space="preserve"> funda</w:t>
      </w:r>
      <w:r w:rsidR="003E3691">
        <w:rPr>
          <w:rFonts w:ascii="Palatino Linotype" w:hAnsi="Palatino Linotype" w:cs="Arial"/>
        </w:rPr>
        <w:t>do y motivado que sustentara su dicho</w:t>
      </w:r>
      <w:r w:rsidR="005E093F">
        <w:rPr>
          <w:rFonts w:ascii="Palatino Linotype" w:hAnsi="Palatino Linotype" w:cs="Arial"/>
        </w:rPr>
        <w:t xml:space="preserve">. </w:t>
      </w:r>
    </w:p>
    <w:p w:rsidR="005E093F" w:rsidRPr="005E093F" w:rsidRDefault="005E093F" w:rsidP="007B291C">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En </w:t>
      </w:r>
      <w:r w:rsidR="00F069BC">
        <w:rPr>
          <w:rFonts w:ascii="Palatino Linotype" w:hAnsi="Palatino Linotype" w:cs="Arial"/>
        </w:rPr>
        <w:t xml:space="preserve">ese sentido, </w:t>
      </w:r>
      <w:r w:rsidR="00432118">
        <w:rPr>
          <w:rFonts w:ascii="Palatino Linotype" w:hAnsi="Palatino Linotype" w:cs="Arial"/>
          <w:b/>
        </w:rPr>
        <w:t>EL SUJETO OBLIGADO</w:t>
      </w:r>
      <w:r w:rsidR="00432118">
        <w:rPr>
          <w:rFonts w:ascii="Palatino Linotype" w:hAnsi="Palatino Linotype" w:cs="Arial"/>
        </w:rPr>
        <w:t xml:space="preserve"> </w:t>
      </w:r>
      <w:r w:rsidR="00F069BC">
        <w:rPr>
          <w:rFonts w:ascii="Palatino Linotype" w:hAnsi="Palatino Linotype" w:cs="Arial"/>
        </w:rPr>
        <w:t>al haber</w:t>
      </w:r>
      <w:r>
        <w:rPr>
          <w:rFonts w:ascii="Palatino Linotype" w:hAnsi="Palatino Linotype" w:cs="Arial"/>
        </w:rPr>
        <w:t xml:space="preserve"> clasificado la información se </w:t>
      </w:r>
      <w:r w:rsidR="00F069BC">
        <w:rPr>
          <w:rFonts w:ascii="Palatino Linotype" w:hAnsi="Palatino Linotype" w:cs="Arial"/>
        </w:rPr>
        <w:t>advierte que este Órg</w:t>
      </w:r>
      <w:r w:rsidR="008B7C6D">
        <w:rPr>
          <w:rFonts w:ascii="Palatino Linotype" w:hAnsi="Palatino Linotype" w:cs="Arial"/>
        </w:rPr>
        <w:t>ano Garante no confirmó</w:t>
      </w:r>
      <w:r w:rsidR="00F069BC">
        <w:rPr>
          <w:rFonts w:ascii="Palatino Linotype" w:hAnsi="Palatino Linotype" w:cs="Arial"/>
        </w:rPr>
        <w:t xml:space="preserve"> la reserva de la información, </w:t>
      </w:r>
      <w:r w:rsidR="008B7C6D">
        <w:rPr>
          <w:rFonts w:ascii="Palatino Linotype" w:hAnsi="Palatino Linotype" w:cs="Arial"/>
        </w:rPr>
        <w:t xml:space="preserve">ni se confirmó la inexistencia de la misma </w:t>
      </w:r>
      <w:r w:rsidR="00F069BC">
        <w:rPr>
          <w:rFonts w:ascii="Palatino Linotype" w:hAnsi="Palatino Linotype" w:cs="Arial"/>
        </w:rPr>
        <w:t>y resolvió el recurso de revisión dent</w:t>
      </w:r>
      <w:r w:rsidR="008B7C6D">
        <w:rPr>
          <w:rFonts w:ascii="Palatino Linotype" w:hAnsi="Palatino Linotype" w:cs="Arial"/>
        </w:rPr>
        <w:t>ro del plazo previsto para ello;</w:t>
      </w:r>
      <w:r w:rsidR="00F069BC">
        <w:rPr>
          <w:rFonts w:ascii="Palatino Linotype" w:hAnsi="Palatino Linotype" w:cs="Arial"/>
        </w:rPr>
        <w:t xml:space="preserve"> en consecuencia, no puede considerarse como negativa de la información, por ende, no se actualizan ninguno de los supuestos legales anteriormente citados, específicamente en la fracción I del artículo 160 de la Ley en comento. </w:t>
      </w:r>
    </w:p>
    <w:p w:rsidR="001E2C98" w:rsidRPr="007B291C" w:rsidRDefault="001E2C98" w:rsidP="007B291C">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7B291C">
        <w:rPr>
          <w:rFonts w:ascii="Palatino Linotype" w:hAnsi="Palatino Linotype" w:cs="Arial"/>
        </w:rPr>
        <w:lastRenderedPageBreak/>
        <w:t xml:space="preserve">En conclusión, la que suscribe considera que no se debieron invocar dichos artículos en el resolutivo </w:t>
      </w:r>
      <w:r w:rsidR="003E3691">
        <w:rPr>
          <w:rFonts w:ascii="Palatino Linotype" w:hAnsi="Palatino Linotype" w:cs="Arial"/>
        </w:rPr>
        <w:t xml:space="preserve">QUINTO </w:t>
      </w:r>
      <w:r w:rsidRPr="007B291C">
        <w:rPr>
          <w:rFonts w:ascii="Palatino Linotype" w:hAnsi="Palatino Linotype" w:cs="Arial"/>
        </w:rPr>
        <w:t>de la resolución de mérito;</w:t>
      </w:r>
      <w:r w:rsidRPr="007B291C">
        <w:rPr>
          <w:rFonts w:ascii="Palatino Linotype" w:hAnsi="Palatino Linotype"/>
        </w:rPr>
        <w:t xml:space="preserve"> por lo que, se</w:t>
      </w:r>
      <w:r w:rsidRPr="007B291C">
        <w:rPr>
          <w:rFonts w:ascii="Palatino Linotype" w:hAnsi="Palatino Linotype" w:cs="Arial"/>
        </w:rPr>
        <w:t xml:space="preserve"> emite </w:t>
      </w:r>
      <w:r w:rsidRPr="007B291C">
        <w:rPr>
          <w:rFonts w:ascii="Palatino Linotype" w:hAnsi="Palatino Linotype" w:cs="Arial"/>
          <w:b/>
        </w:rPr>
        <w:t xml:space="preserve">VOTO PARTICULAR </w:t>
      </w:r>
      <w:r w:rsidRPr="007B291C">
        <w:rPr>
          <w:rFonts w:ascii="Palatino Linotype" w:hAnsi="Palatino Linotype" w:cs="Arial"/>
        </w:rPr>
        <w:t>pues se insiste, que de las constancias del expediente no se advierten actos que encuadren en los supuestos legales señalados en los numerales 159 y 160 de la Ley General de Transparencia y Acceso a</w:t>
      </w:r>
      <w:bookmarkStart w:id="0" w:name="_GoBack"/>
      <w:bookmarkEnd w:id="0"/>
      <w:r w:rsidRPr="007B291C">
        <w:rPr>
          <w:rFonts w:ascii="Palatino Linotype" w:hAnsi="Palatino Linotype" w:cs="Arial"/>
        </w:rPr>
        <w:t xml:space="preserve"> la Información Pública, pues </w:t>
      </w:r>
      <w:r w:rsidRPr="007B291C">
        <w:rPr>
          <w:rFonts w:ascii="Palatino Linotype" w:hAnsi="Palatino Linotype" w:cs="Arial"/>
          <w:b/>
        </w:rPr>
        <w:t xml:space="preserve">EL SUJETO OBLIGADO </w:t>
      </w:r>
      <w:r w:rsidRPr="007B291C">
        <w:rPr>
          <w:rFonts w:ascii="Palatino Linotype" w:hAnsi="Palatino Linotype" w:cs="Arial"/>
        </w:rPr>
        <w:t xml:space="preserve">no </w:t>
      </w:r>
      <w:r w:rsidR="00BC0341">
        <w:rPr>
          <w:rFonts w:ascii="Palatino Linotype" w:hAnsi="Palatino Linotype" w:cs="Arial"/>
        </w:rPr>
        <w:t xml:space="preserve">remitió el </w:t>
      </w:r>
      <w:r w:rsidR="008B7C6D">
        <w:rPr>
          <w:rFonts w:ascii="Palatino Linotype" w:hAnsi="Palatino Linotype" w:cs="Arial"/>
        </w:rPr>
        <w:t xml:space="preserve">Acuerdo </w:t>
      </w:r>
      <w:r w:rsidR="00BC0341">
        <w:rPr>
          <w:rFonts w:ascii="Palatino Linotype" w:hAnsi="Palatino Linotype" w:cs="Arial"/>
        </w:rPr>
        <w:t xml:space="preserve">de </w:t>
      </w:r>
      <w:r w:rsidR="008B7C6D">
        <w:rPr>
          <w:rFonts w:ascii="Palatino Linotype" w:hAnsi="Palatino Linotype" w:cs="Arial"/>
        </w:rPr>
        <w:t xml:space="preserve">Clasificación </w:t>
      </w:r>
      <w:r w:rsidR="00C360A2">
        <w:rPr>
          <w:rFonts w:ascii="Palatino Linotype" w:hAnsi="Palatino Linotype" w:cs="Arial"/>
        </w:rPr>
        <w:t xml:space="preserve">de la </w:t>
      </w:r>
      <w:r w:rsidR="00370CB6">
        <w:rPr>
          <w:rFonts w:ascii="Palatino Linotype" w:hAnsi="Palatino Linotype" w:cs="Arial"/>
        </w:rPr>
        <w:t xml:space="preserve">información </w:t>
      </w:r>
      <w:r w:rsidRPr="007B291C">
        <w:rPr>
          <w:rFonts w:ascii="Palatino Linotype" w:hAnsi="Palatino Linotype" w:cs="Arial"/>
        </w:rPr>
        <w:t xml:space="preserve">emitido por el Comité de Transparencia </w:t>
      </w:r>
      <w:r w:rsidR="00BC0341">
        <w:rPr>
          <w:rFonts w:ascii="Palatino Linotype" w:hAnsi="Palatino Linotype" w:cs="Arial"/>
        </w:rPr>
        <w:t>debidamente fundado y motivado</w:t>
      </w:r>
      <w:r w:rsidRPr="007B291C">
        <w:rPr>
          <w:rFonts w:ascii="Palatino Linotype" w:hAnsi="Palatino Linotype" w:cs="Arial"/>
        </w:rPr>
        <w:t xml:space="preserve">, por lo que este Instituto no confirmó dicha </w:t>
      </w:r>
      <w:r w:rsidR="00C360A2">
        <w:rPr>
          <w:rFonts w:ascii="Palatino Linotype" w:hAnsi="Palatino Linotype" w:cs="Arial"/>
        </w:rPr>
        <w:t xml:space="preserve">clasificación formal de la información requerida. </w:t>
      </w:r>
    </w:p>
    <w:p w:rsidR="00DF015D" w:rsidRPr="007B291C" w:rsidRDefault="00DF015D" w:rsidP="007B291C">
      <w:pPr>
        <w:widowControl w:val="0"/>
        <w:autoSpaceDE w:val="0"/>
        <w:autoSpaceDN w:val="0"/>
        <w:adjustRightInd w:val="0"/>
        <w:spacing w:before="100" w:beforeAutospacing="1" w:after="100" w:afterAutospacing="1" w:line="360" w:lineRule="auto"/>
        <w:jc w:val="both"/>
        <w:rPr>
          <w:rFonts w:ascii="Palatino Linotype" w:hAnsi="Palatino Linotype" w:cs="Arial"/>
        </w:rPr>
      </w:pPr>
    </w:p>
    <w:tbl>
      <w:tblPr>
        <w:tblpPr w:leftFromText="141" w:rightFromText="141" w:vertAnchor="text" w:tblpXSpec="center" w:tblpY="1"/>
        <w:tblOverlap w:val="never"/>
        <w:tblW w:w="2681" w:type="dxa"/>
        <w:tblLayout w:type="fixed"/>
        <w:tblLook w:val="04A0" w:firstRow="1" w:lastRow="0" w:firstColumn="1" w:lastColumn="0" w:noHBand="0" w:noVBand="1"/>
      </w:tblPr>
      <w:tblGrid>
        <w:gridCol w:w="2681"/>
      </w:tblGrid>
      <w:tr w:rsidR="00F7009C" w:rsidRPr="007B291C">
        <w:trPr>
          <w:trHeight w:val="1860"/>
        </w:trPr>
        <w:tc>
          <w:tcPr>
            <w:tcW w:w="2681" w:type="dxa"/>
          </w:tcPr>
          <w:p w:rsidR="00DF015D" w:rsidRDefault="00DF015D" w:rsidP="007B291C">
            <w:pPr>
              <w:spacing w:before="100" w:beforeAutospacing="1" w:after="100" w:afterAutospacing="1" w:line="360" w:lineRule="auto"/>
              <w:jc w:val="center"/>
              <w:rPr>
                <w:rFonts w:ascii="Palatino Linotype" w:hAnsi="Palatino Linotype" w:cs="Arial"/>
                <w:b/>
              </w:rPr>
            </w:pPr>
          </w:p>
          <w:p w:rsidR="008B7C6D" w:rsidRDefault="008B7C6D" w:rsidP="007B291C">
            <w:pPr>
              <w:spacing w:before="100" w:beforeAutospacing="1" w:after="100" w:afterAutospacing="1" w:line="360" w:lineRule="auto"/>
              <w:jc w:val="center"/>
              <w:rPr>
                <w:rFonts w:ascii="Palatino Linotype" w:hAnsi="Palatino Linotype" w:cs="Arial"/>
                <w:b/>
              </w:rPr>
            </w:pPr>
          </w:p>
          <w:p w:rsidR="00235D4C" w:rsidRDefault="00235D4C" w:rsidP="007B291C">
            <w:pPr>
              <w:spacing w:before="100" w:beforeAutospacing="1" w:after="100" w:afterAutospacing="1" w:line="360" w:lineRule="auto"/>
              <w:jc w:val="center"/>
              <w:rPr>
                <w:rFonts w:ascii="Palatino Linotype" w:hAnsi="Palatino Linotype" w:cs="Arial"/>
                <w:b/>
              </w:rPr>
            </w:pPr>
          </w:p>
          <w:p w:rsidR="00F7009C" w:rsidRPr="007B291C" w:rsidRDefault="00F7009C" w:rsidP="007B291C">
            <w:pPr>
              <w:jc w:val="center"/>
              <w:rPr>
                <w:rFonts w:ascii="Palatino Linotype" w:hAnsi="Palatino Linotype" w:cs="Arial"/>
                <w:b/>
              </w:rPr>
            </w:pPr>
            <w:r w:rsidRPr="007B291C">
              <w:rPr>
                <w:rFonts w:ascii="Palatino Linotype" w:hAnsi="Palatino Linotype" w:cs="Arial"/>
                <w:b/>
              </w:rPr>
              <w:t>EVA ABAID YAPUR</w:t>
            </w:r>
          </w:p>
          <w:p w:rsidR="00A85A7B" w:rsidRDefault="00F7009C" w:rsidP="00235D4C">
            <w:pPr>
              <w:jc w:val="center"/>
              <w:rPr>
                <w:rFonts w:ascii="Palatino Linotype" w:hAnsi="Palatino Linotype" w:cs="Arial"/>
                <w:b/>
              </w:rPr>
            </w:pPr>
            <w:r w:rsidRPr="007B291C">
              <w:rPr>
                <w:rFonts w:ascii="Palatino Linotype" w:hAnsi="Palatino Linotype" w:cs="Arial"/>
                <w:b/>
              </w:rPr>
              <w:t>COMISIONADA</w:t>
            </w:r>
          </w:p>
          <w:p w:rsidR="00870DAB" w:rsidRPr="007B291C" w:rsidRDefault="00870DAB" w:rsidP="00235D4C">
            <w:pPr>
              <w:jc w:val="center"/>
              <w:rPr>
                <w:rFonts w:ascii="Palatino Linotype" w:hAnsi="Palatino Linotype" w:cs="Arial"/>
                <w:b/>
              </w:rPr>
            </w:pPr>
            <w:r>
              <w:rPr>
                <w:rFonts w:ascii="Palatino Linotype" w:hAnsi="Palatino Linotype" w:cs="Arial"/>
                <w:b/>
              </w:rPr>
              <w:t>(RÚBRICA)</w:t>
            </w:r>
          </w:p>
        </w:tc>
      </w:tr>
    </w:tbl>
    <w:p w:rsidR="00F7009C" w:rsidRPr="007B291C" w:rsidRDefault="00F7009C" w:rsidP="007B291C">
      <w:pPr>
        <w:spacing w:before="100" w:beforeAutospacing="1" w:after="100" w:afterAutospacing="1" w:line="360" w:lineRule="auto"/>
        <w:jc w:val="both"/>
        <w:rPr>
          <w:rFonts w:ascii="Palatino Linotype" w:eastAsia="Calibri" w:hAnsi="Palatino Linotype" w:cs="Arial"/>
          <w:color w:val="000000" w:themeColor="text1"/>
        </w:rPr>
      </w:pPr>
    </w:p>
    <w:p w:rsidR="00F7009C" w:rsidRPr="007B291C" w:rsidRDefault="00F7009C" w:rsidP="007B291C">
      <w:pPr>
        <w:spacing w:before="100" w:beforeAutospacing="1" w:after="100" w:afterAutospacing="1" w:line="360" w:lineRule="auto"/>
        <w:jc w:val="both"/>
        <w:rPr>
          <w:rFonts w:ascii="Palatino Linotype" w:eastAsia="Calibri" w:hAnsi="Palatino Linotype" w:cs="Arial"/>
          <w:color w:val="000000" w:themeColor="text1"/>
        </w:rPr>
      </w:pPr>
    </w:p>
    <w:p w:rsidR="00DF015D" w:rsidRPr="007B291C" w:rsidRDefault="00DF015D" w:rsidP="007B291C">
      <w:pPr>
        <w:spacing w:before="100" w:beforeAutospacing="1" w:after="100" w:afterAutospacing="1" w:line="360" w:lineRule="auto"/>
        <w:jc w:val="both"/>
        <w:rPr>
          <w:rFonts w:ascii="Palatino Linotype" w:eastAsia="Calibri" w:hAnsi="Palatino Linotype" w:cs="Arial"/>
          <w:color w:val="000000" w:themeColor="text1"/>
          <w:sz w:val="20"/>
        </w:rPr>
      </w:pPr>
    </w:p>
    <w:p w:rsidR="007B291C" w:rsidRDefault="007B291C" w:rsidP="007B291C">
      <w:pPr>
        <w:jc w:val="both"/>
        <w:rPr>
          <w:rFonts w:ascii="Palatino Linotype" w:eastAsia="Calibri" w:hAnsi="Palatino Linotype" w:cs="Arial"/>
          <w:color w:val="000000" w:themeColor="text1"/>
          <w:sz w:val="20"/>
        </w:rPr>
      </w:pPr>
    </w:p>
    <w:p w:rsidR="007B291C" w:rsidRDefault="007B291C" w:rsidP="007B291C">
      <w:pPr>
        <w:jc w:val="both"/>
        <w:rPr>
          <w:rFonts w:ascii="Palatino Linotype" w:eastAsia="Calibri" w:hAnsi="Palatino Linotype" w:cs="Arial"/>
          <w:color w:val="000000" w:themeColor="text1"/>
          <w:sz w:val="20"/>
        </w:rPr>
      </w:pPr>
    </w:p>
    <w:p w:rsidR="008B7C6D" w:rsidRDefault="008B7C6D" w:rsidP="007B291C">
      <w:pPr>
        <w:jc w:val="both"/>
        <w:rPr>
          <w:rFonts w:ascii="Palatino Linotype" w:eastAsia="Calibri" w:hAnsi="Palatino Linotype" w:cs="Arial"/>
          <w:color w:val="000000" w:themeColor="text1"/>
          <w:sz w:val="20"/>
        </w:rPr>
      </w:pPr>
    </w:p>
    <w:p w:rsidR="008B7C6D" w:rsidRDefault="008B7C6D" w:rsidP="007B291C">
      <w:pPr>
        <w:jc w:val="both"/>
        <w:rPr>
          <w:rFonts w:ascii="Palatino Linotype" w:eastAsia="Calibri" w:hAnsi="Palatino Linotype" w:cs="Arial"/>
          <w:color w:val="000000" w:themeColor="text1"/>
          <w:sz w:val="20"/>
        </w:rPr>
      </w:pPr>
    </w:p>
    <w:p w:rsidR="008B7C6D" w:rsidRDefault="008B7C6D" w:rsidP="007B291C">
      <w:pPr>
        <w:jc w:val="both"/>
        <w:rPr>
          <w:rFonts w:ascii="Palatino Linotype" w:eastAsia="Calibri" w:hAnsi="Palatino Linotype" w:cs="Arial"/>
          <w:color w:val="000000" w:themeColor="text1"/>
          <w:sz w:val="20"/>
        </w:rPr>
      </w:pPr>
    </w:p>
    <w:p w:rsidR="008B7C6D" w:rsidRDefault="008B7C6D" w:rsidP="007B291C">
      <w:pPr>
        <w:jc w:val="both"/>
        <w:rPr>
          <w:rFonts w:ascii="Palatino Linotype" w:eastAsia="Calibri" w:hAnsi="Palatino Linotype" w:cs="Arial"/>
          <w:color w:val="000000" w:themeColor="text1"/>
          <w:sz w:val="20"/>
        </w:rPr>
      </w:pPr>
    </w:p>
    <w:p w:rsidR="008B7C6D" w:rsidRDefault="008B7C6D" w:rsidP="007B291C">
      <w:pPr>
        <w:jc w:val="both"/>
        <w:rPr>
          <w:rFonts w:ascii="Palatino Linotype" w:eastAsia="Calibri" w:hAnsi="Palatino Linotype" w:cs="Arial"/>
          <w:color w:val="000000" w:themeColor="text1"/>
          <w:sz w:val="20"/>
        </w:rPr>
      </w:pPr>
    </w:p>
    <w:p w:rsidR="00432118" w:rsidRDefault="00432118" w:rsidP="007B291C">
      <w:pPr>
        <w:jc w:val="both"/>
        <w:rPr>
          <w:rFonts w:ascii="Palatino Linotype" w:eastAsia="Calibri" w:hAnsi="Palatino Linotype" w:cs="Arial"/>
          <w:color w:val="000000" w:themeColor="text1"/>
          <w:sz w:val="20"/>
        </w:rPr>
      </w:pPr>
    </w:p>
    <w:p w:rsidR="00235D4C" w:rsidRDefault="00235D4C" w:rsidP="007B291C">
      <w:pPr>
        <w:jc w:val="both"/>
        <w:rPr>
          <w:rFonts w:ascii="Palatino Linotype" w:eastAsia="Calibri" w:hAnsi="Palatino Linotype" w:cs="Arial"/>
          <w:color w:val="000000" w:themeColor="text1"/>
          <w:sz w:val="20"/>
        </w:rPr>
      </w:pPr>
    </w:p>
    <w:p w:rsidR="00235D4C" w:rsidRDefault="00235D4C" w:rsidP="007B291C">
      <w:pPr>
        <w:jc w:val="both"/>
        <w:rPr>
          <w:rFonts w:ascii="Palatino Linotype" w:eastAsia="Calibri" w:hAnsi="Palatino Linotype" w:cs="Arial"/>
          <w:color w:val="000000" w:themeColor="text1"/>
          <w:sz w:val="20"/>
        </w:rPr>
      </w:pPr>
    </w:p>
    <w:p w:rsidR="00F7009C" w:rsidRDefault="00F7009C" w:rsidP="007B291C">
      <w:pPr>
        <w:jc w:val="both"/>
        <w:rPr>
          <w:rFonts w:ascii="Palatino Linotype" w:eastAsia="Calibri" w:hAnsi="Palatino Linotype" w:cs="Arial"/>
          <w:color w:val="000000" w:themeColor="text1"/>
          <w:sz w:val="20"/>
        </w:rPr>
      </w:pPr>
      <w:r w:rsidRPr="007B291C">
        <w:rPr>
          <w:rFonts w:ascii="Palatino Linotype" w:eastAsia="Calibri" w:hAnsi="Palatino Linotype" w:cs="Arial"/>
          <w:color w:val="000000" w:themeColor="text1"/>
          <w:sz w:val="20"/>
        </w:rPr>
        <w:t xml:space="preserve">Esta hoja corresponde al voto particular emitido en </w:t>
      </w:r>
      <w:r w:rsidR="00A85A7B" w:rsidRPr="007B291C">
        <w:rPr>
          <w:rFonts w:ascii="Palatino Linotype" w:eastAsia="Calibri" w:hAnsi="Palatino Linotype" w:cs="Arial"/>
          <w:color w:val="000000" w:themeColor="text1"/>
          <w:sz w:val="20"/>
        </w:rPr>
        <w:t>la resoluci</w:t>
      </w:r>
      <w:r w:rsidR="00C360A2">
        <w:rPr>
          <w:rFonts w:ascii="Palatino Linotype" w:eastAsia="Calibri" w:hAnsi="Palatino Linotype" w:cs="Arial"/>
          <w:color w:val="000000" w:themeColor="text1"/>
          <w:sz w:val="20"/>
        </w:rPr>
        <w:t>ón de</w:t>
      </w:r>
      <w:r w:rsidR="003E3691">
        <w:rPr>
          <w:rFonts w:ascii="Palatino Linotype" w:eastAsia="Calibri" w:hAnsi="Palatino Linotype" w:cs="Arial"/>
          <w:color w:val="000000" w:themeColor="text1"/>
          <w:sz w:val="20"/>
        </w:rPr>
        <w:t xml:space="preserve"> </w:t>
      </w:r>
      <w:r w:rsidR="00C360A2">
        <w:rPr>
          <w:rFonts w:ascii="Palatino Linotype" w:eastAsia="Calibri" w:hAnsi="Palatino Linotype" w:cs="Arial"/>
          <w:color w:val="000000" w:themeColor="text1"/>
          <w:sz w:val="20"/>
        </w:rPr>
        <w:t>l</w:t>
      </w:r>
      <w:r w:rsidR="003E3691">
        <w:rPr>
          <w:rFonts w:ascii="Palatino Linotype" w:eastAsia="Calibri" w:hAnsi="Palatino Linotype" w:cs="Arial"/>
          <w:color w:val="000000" w:themeColor="text1"/>
          <w:sz w:val="20"/>
        </w:rPr>
        <w:t>os</w:t>
      </w:r>
      <w:r w:rsidR="00C360A2">
        <w:rPr>
          <w:rFonts w:ascii="Palatino Linotype" w:eastAsia="Calibri" w:hAnsi="Palatino Linotype" w:cs="Arial"/>
          <w:color w:val="000000" w:themeColor="text1"/>
          <w:sz w:val="20"/>
        </w:rPr>
        <w:t xml:space="preserve"> recurso</w:t>
      </w:r>
      <w:r w:rsidR="003E3691">
        <w:rPr>
          <w:rFonts w:ascii="Palatino Linotype" w:eastAsia="Calibri" w:hAnsi="Palatino Linotype" w:cs="Arial"/>
          <w:color w:val="000000" w:themeColor="text1"/>
          <w:sz w:val="20"/>
        </w:rPr>
        <w:t>s</w:t>
      </w:r>
      <w:r w:rsidR="00C360A2">
        <w:rPr>
          <w:rFonts w:ascii="Palatino Linotype" w:eastAsia="Calibri" w:hAnsi="Palatino Linotype" w:cs="Arial"/>
          <w:color w:val="000000" w:themeColor="text1"/>
          <w:sz w:val="20"/>
        </w:rPr>
        <w:t xml:space="preserve"> de revisión</w:t>
      </w:r>
      <w:r w:rsidR="00235D4C">
        <w:rPr>
          <w:rFonts w:ascii="Palatino Linotype" w:eastAsia="Calibri" w:hAnsi="Palatino Linotype" w:cs="Arial"/>
          <w:color w:val="000000" w:themeColor="text1"/>
          <w:sz w:val="20"/>
        </w:rPr>
        <w:t xml:space="preserve"> </w:t>
      </w:r>
      <w:r w:rsidR="003E3691" w:rsidRPr="003E3691">
        <w:rPr>
          <w:rFonts w:ascii="Palatino Linotype" w:eastAsia="Calibri" w:hAnsi="Palatino Linotype" w:cs="Arial"/>
          <w:color w:val="000000" w:themeColor="text1"/>
          <w:sz w:val="20"/>
        </w:rPr>
        <w:t>04408/INFOEM/IP/RR/2018 y 04822/INFOEM/IP/RR/2018 acumulados</w:t>
      </w:r>
      <w:r w:rsidRPr="007B291C">
        <w:rPr>
          <w:rFonts w:ascii="Palatino Linotype" w:eastAsia="Calibri" w:hAnsi="Palatino Linotype" w:cs="Arial"/>
          <w:color w:val="000000" w:themeColor="text1"/>
          <w:sz w:val="20"/>
        </w:rPr>
        <w:t>, aprobad</w:t>
      </w:r>
      <w:r w:rsidR="003E3691">
        <w:rPr>
          <w:rFonts w:ascii="Palatino Linotype" w:eastAsia="Calibri" w:hAnsi="Palatino Linotype" w:cs="Arial"/>
          <w:color w:val="000000" w:themeColor="text1"/>
          <w:sz w:val="20"/>
        </w:rPr>
        <w:t>a</w:t>
      </w:r>
      <w:r w:rsidRPr="007B291C">
        <w:rPr>
          <w:rFonts w:ascii="Palatino Linotype" w:eastAsia="Calibri" w:hAnsi="Palatino Linotype" w:cs="Arial"/>
          <w:color w:val="000000" w:themeColor="text1"/>
          <w:sz w:val="20"/>
        </w:rPr>
        <w:t xml:space="preserve"> el </w:t>
      </w:r>
      <w:r w:rsidR="003E3691">
        <w:rPr>
          <w:rFonts w:ascii="Palatino Linotype" w:eastAsia="Calibri" w:hAnsi="Palatino Linotype" w:cs="Arial"/>
          <w:color w:val="000000" w:themeColor="text1"/>
          <w:sz w:val="20"/>
        </w:rPr>
        <w:t>trece</w:t>
      </w:r>
      <w:r w:rsidR="00C360A2">
        <w:rPr>
          <w:rFonts w:ascii="Palatino Linotype" w:eastAsia="Calibri" w:hAnsi="Palatino Linotype" w:cs="Arial"/>
          <w:color w:val="000000" w:themeColor="text1"/>
          <w:sz w:val="20"/>
        </w:rPr>
        <w:t xml:space="preserve"> </w:t>
      </w:r>
      <w:r w:rsidR="00683A81" w:rsidRPr="007B291C">
        <w:rPr>
          <w:rFonts w:ascii="Palatino Linotype" w:eastAsia="Calibri" w:hAnsi="Palatino Linotype" w:cs="Arial"/>
          <w:color w:val="000000" w:themeColor="text1"/>
          <w:sz w:val="20"/>
        </w:rPr>
        <w:t xml:space="preserve">de </w:t>
      </w:r>
      <w:r w:rsidR="003E3691">
        <w:rPr>
          <w:rFonts w:ascii="Palatino Linotype" w:eastAsia="Calibri" w:hAnsi="Palatino Linotype" w:cs="Arial"/>
          <w:color w:val="000000" w:themeColor="text1"/>
          <w:sz w:val="20"/>
        </w:rPr>
        <w:t>febrero de dos mil diecinueve</w:t>
      </w:r>
      <w:r w:rsidRPr="007B291C">
        <w:rPr>
          <w:rFonts w:ascii="Palatino Linotype" w:eastAsia="Calibri" w:hAnsi="Palatino Linotype" w:cs="Arial"/>
          <w:color w:val="000000" w:themeColor="text1"/>
          <w:sz w:val="20"/>
        </w:rPr>
        <w:t>.</w:t>
      </w:r>
    </w:p>
    <w:p w:rsidR="007B291C" w:rsidRPr="007B291C" w:rsidRDefault="007B291C" w:rsidP="007B291C">
      <w:pPr>
        <w:jc w:val="both"/>
        <w:rPr>
          <w:rFonts w:ascii="Palatino Linotype" w:eastAsia="Calibri" w:hAnsi="Palatino Linotype" w:cs="Arial"/>
          <w:color w:val="000000" w:themeColor="text1"/>
          <w:sz w:val="6"/>
        </w:rPr>
      </w:pPr>
    </w:p>
    <w:p w:rsidR="00F15420" w:rsidRPr="007B291C" w:rsidRDefault="00A85A7B" w:rsidP="007B291C">
      <w:pPr>
        <w:jc w:val="both"/>
        <w:rPr>
          <w:rFonts w:ascii="Palatino Linotype" w:eastAsia="Calibri" w:hAnsi="Palatino Linotype"/>
          <w:sz w:val="22"/>
        </w:rPr>
      </w:pPr>
      <w:r w:rsidRPr="007B291C">
        <w:rPr>
          <w:rFonts w:ascii="Palatino Linotype" w:eastAsia="Calibri" w:hAnsi="Palatino Linotype" w:cs="Arial"/>
          <w:color w:val="000000" w:themeColor="text1"/>
          <w:sz w:val="20"/>
        </w:rPr>
        <w:t>YSM/IAHA</w:t>
      </w:r>
    </w:p>
    <w:sectPr w:rsidR="00F15420" w:rsidRPr="007B291C" w:rsidSect="00AF3382">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050" w:rsidRDefault="00345050" w:rsidP="00C80F8C">
      <w:r>
        <w:separator/>
      </w:r>
    </w:p>
  </w:endnote>
  <w:endnote w:type="continuationSeparator" w:id="0">
    <w:p w:rsidR="00345050" w:rsidRDefault="0034505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056D9">
    <w:pPr>
      <w:pStyle w:val="Piedepgina"/>
      <w:tabs>
        <w:tab w:val="clear" w:pos="4252"/>
        <w:tab w:val="left" w:pos="4228"/>
      </w:tabs>
      <w:rPr>
        <w:rFonts w:ascii="Palatino Linotype" w:hAnsi="Palatino Linotype" w:cs="Arial"/>
        <w:b/>
        <w:bCs/>
        <w:sz w:val="20"/>
        <w:szCs w:val="20"/>
      </w:rPr>
    </w:pPr>
  </w:p>
  <w:p w:rsidR="0087455A" w:rsidRDefault="0087455A"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70DAB">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70DAB">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050" w:rsidRDefault="00345050" w:rsidP="00C80F8C">
      <w:r>
        <w:separator/>
      </w:r>
    </w:p>
  </w:footnote>
  <w:footnote w:type="continuationSeparator" w:id="0">
    <w:p w:rsidR="00345050" w:rsidRDefault="0034505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70DA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B85432">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8A03F8" w:rsidRDefault="008A03F8" w:rsidP="00F7009C">
    <w:pPr>
      <w:pStyle w:val="Encabezado"/>
      <w:tabs>
        <w:tab w:val="clear" w:pos="4252"/>
        <w:tab w:val="clear" w:pos="8504"/>
        <w:tab w:val="left" w:pos="2326"/>
      </w:tabs>
      <w:ind w:right="-93"/>
      <w:jc w:val="right"/>
      <w:rPr>
        <w:rFonts w:ascii="Palatino Linotype" w:hAnsi="Palatino Linotype"/>
      </w:rPr>
    </w:pPr>
  </w:p>
  <w:p w:rsidR="008A03F8" w:rsidRDefault="00432118" w:rsidP="00F7009C">
    <w:pPr>
      <w:pStyle w:val="Encabezado"/>
      <w:tabs>
        <w:tab w:val="clear" w:pos="4252"/>
        <w:tab w:val="clear" w:pos="8504"/>
        <w:tab w:val="left" w:pos="2326"/>
      </w:tabs>
      <w:ind w:right="-93"/>
      <w:jc w:val="right"/>
      <w:rPr>
        <w:rFonts w:ascii="Palatino Linotype" w:hAnsi="Palatino Linotype" w:cs="Arial"/>
        <w:sz w:val="20"/>
        <w:szCs w:val="20"/>
      </w:rPr>
    </w:pPr>
    <w:r w:rsidRPr="00B85432">
      <w:rPr>
        <w:rFonts w:ascii="Palatino Linotype" w:hAnsi="Palatino Linotype" w:cs="Arial"/>
        <w:sz w:val="20"/>
        <w:szCs w:val="20"/>
      </w:rPr>
      <w:t>VOTO PARTICULAR</w:t>
    </w:r>
  </w:p>
  <w:p w:rsidR="00B85432" w:rsidRDefault="00432118" w:rsidP="00F7009C">
    <w:pPr>
      <w:pStyle w:val="Encabezado"/>
      <w:tabs>
        <w:tab w:val="clear" w:pos="4252"/>
        <w:tab w:val="clear" w:pos="8504"/>
        <w:tab w:val="left" w:pos="2326"/>
      </w:tabs>
      <w:ind w:right="-93"/>
      <w:jc w:val="right"/>
      <w:rPr>
        <w:rFonts w:ascii="Palatino Linotype" w:hAnsi="Palatino Linotype" w:cs="Arial"/>
        <w:sz w:val="20"/>
        <w:szCs w:val="20"/>
      </w:rPr>
    </w:pPr>
    <w:r w:rsidRPr="00706042">
      <w:rPr>
        <w:rFonts w:ascii="Palatino Linotype" w:hAnsi="Palatino Linotype" w:cs="Arial"/>
        <w:sz w:val="20"/>
        <w:szCs w:val="20"/>
      </w:rPr>
      <w:t>RECURSO</w:t>
    </w:r>
    <w:r>
      <w:rPr>
        <w:rFonts w:ascii="Palatino Linotype" w:hAnsi="Palatino Linotype" w:cs="Arial"/>
        <w:sz w:val="20"/>
        <w:szCs w:val="20"/>
      </w:rPr>
      <w:t>S</w:t>
    </w:r>
    <w:r w:rsidRPr="00706042">
      <w:rPr>
        <w:rFonts w:ascii="Palatino Linotype" w:hAnsi="Palatino Linotype" w:cs="Arial"/>
        <w:sz w:val="20"/>
        <w:szCs w:val="20"/>
      </w:rPr>
      <w:t xml:space="preserve"> DE REVISIÓN </w:t>
    </w:r>
    <w:r>
      <w:rPr>
        <w:rFonts w:ascii="Palatino Linotype" w:hAnsi="Palatino Linotype" w:cs="Arial"/>
        <w:sz w:val="20"/>
        <w:szCs w:val="20"/>
      </w:rPr>
      <w:t>04408/INFOEM/IP</w:t>
    </w:r>
    <w:r w:rsidRPr="00706042">
      <w:rPr>
        <w:rFonts w:ascii="Palatino Linotype" w:hAnsi="Palatino Linotype" w:cs="Arial"/>
        <w:sz w:val="20"/>
        <w:szCs w:val="20"/>
      </w:rPr>
      <w:t>/RR/201</w:t>
    </w:r>
    <w:r>
      <w:rPr>
        <w:rFonts w:ascii="Palatino Linotype" w:hAnsi="Palatino Linotype" w:cs="Arial"/>
        <w:sz w:val="20"/>
        <w:szCs w:val="20"/>
      </w:rPr>
      <w:t>8 Y</w:t>
    </w:r>
  </w:p>
  <w:p w:rsidR="00B85432" w:rsidRDefault="00432118" w:rsidP="00B85432">
    <w:pPr>
      <w:pStyle w:val="Encabezado"/>
      <w:tabs>
        <w:tab w:val="clear" w:pos="4252"/>
        <w:tab w:val="clear" w:pos="8504"/>
        <w:tab w:val="left" w:pos="2326"/>
      </w:tabs>
      <w:ind w:right="-93"/>
      <w:jc w:val="right"/>
      <w:rPr>
        <w:rFonts w:ascii="Palatino Linotype" w:hAnsi="Palatino Linotype"/>
      </w:rPr>
    </w:pPr>
    <w:r>
      <w:rPr>
        <w:rFonts w:ascii="Palatino Linotype" w:hAnsi="Palatino Linotype" w:cs="Arial"/>
        <w:sz w:val="20"/>
        <w:szCs w:val="20"/>
      </w:rPr>
      <w:t>04822/INFOEM/IP</w:t>
    </w:r>
    <w:r w:rsidRPr="00706042">
      <w:rPr>
        <w:rFonts w:ascii="Palatino Linotype" w:hAnsi="Palatino Linotype" w:cs="Arial"/>
        <w:sz w:val="20"/>
        <w:szCs w:val="20"/>
      </w:rPr>
      <w:t>/RR/201</w:t>
    </w:r>
    <w:r>
      <w:rPr>
        <w:rFonts w:ascii="Palatino Linotype" w:hAnsi="Palatino Linotype" w:cs="Arial"/>
        <w:sz w:val="20"/>
        <w:szCs w:val="20"/>
      </w:rPr>
      <w:t>8 ACUMULADOS</w:t>
    </w:r>
  </w:p>
  <w:p w:rsidR="0087455A" w:rsidRDefault="00870DAB" w:rsidP="00B85432">
    <w:pPr>
      <w:pStyle w:val="Encabezado"/>
      <w:tabs>
        <w:tab w:val="clear" w:pos="4252"/>
        <w:tab w:val="clear" w:pos="8504"/>
        <w:tab w:val="left" w:pos="2326"/>
      </w:tabs>
      <w:ind w:right="-93"/>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88.7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70DA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9541B70"/>
    <w:multiLevelType w:val="hybridMultilevel"/>
    <w:tmpl w:val="05B43588"/>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04964AD"/>
    <w:multiLevelType w:val="hybridMultilevel"/>
    <w:tmpl w:val="7C5C51F0"/>
    <w:lvl w:ilvl="0" w:tplc="F5B24668">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1157F9F"/>
    <w:multiLevelType w:val="hybridMultilevel"/>
    <w:tmpl w:val="BAD8989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5"/>
  </w:num>
  <w:num w:numId="4">
    <w:abstractNumId w:val="0"/>
  </w:num>
  <w:num w:numId="5">
    <w:abstractNumId w:val="11"/>
  </w:num>
  <w:num w:numId="6">
    <w:abstractNumId w:val="8"/>
  </w:num>
  <w:num w:numId="7">
    <w:abstractNumId w:val="14"/>
  </w:num>
  <w:num w:numId="8">
    <w:abstractNumId w:val="7"/>
  </w:num>
  <w:num w:numId="9">
    <w:abstractNumId w:val="9"/>
  </w:num>
  <w:num w:numId="10">
    <w:abstractNumId w:val="3"/>
  </w:num>
  <w:num w:numId="11">
    <w:abstractNumId w:val="10"/>
  </w:num>
  <w:num w:numId="12">
    <w:abstractNumId w:val="6"/>
  </w:num>
  <w:num w:numId="13">
    <w:abstractNumId w:val="12"/>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6B66"/>
    <w:rsid w:val="0001751C"/>
    <w:rsid w:val="00017D16"/>
    <w:rsid w:val="000412FB"/>
    <w:rsid w:val="00055107"/>
    <w:rsid w:val="0006079D"/>
    <w:rsid w:val="0007653D"/>
    <w:rsid w:val="00082101"/>
    <w:rsid w:val="0008542A"/>
    <w:rsid w:val="0008745A"/>
    <w:rsid w:val="00092678"/>
    <w:rsid w:val="00095B30"/>
    <w:rsid w:val="000B3FFD"/>
    <w:rsid w:val="000C1A85"/>
    <w:rsid w:val="000C2CF9"/>
    <w:rsid w:val="000C4453"/>
    <w:rsid w:val="000D136C"/>
    <w:rsid w:val="000D66DE"/>
    <w:rsid w:val="000E2B1A"/>
    <w:rsid w:val="000E4C17"/>
    <w:rsid w:val="000F7FE7"/>
    <w:rsid w:val="00102EEC"/>
    <w:rsid w:val="0010583C"/>
    <w:rsid w:val="001059D0"/>
    <w:rsid w:val="00111722"/>
    <w:rsid w:val="00117749"/>
    <w:rsid w:val="001215FC"/>
    <w:rsid w:val="00123644"/>
    <w:rsid w:val="00136F2D"/>
    <w:rsid w:val="0013735C"/>
    <w:rsid w:val="00140058"/>
    <w:rsid w:val="00140A11"/>
    <w:rsid w:val="00161C25"/>
    <w:rsid w:val="001749F7"/>
    <w:rsid w:val="00175DEE"/>
    <w:rsid w:val="00187FFD"/>
    <w:rsid w:val="001950C9"/>
    <w:rsid w:val="001A5699"/>
    <w:rsid w:val="001B28D2"/>
    <w:rsid w:val="001C1E57"/>
    <w:rsid w:val="001D3F57"/>
    <w:rsid w:val="001E2C98"/>
    <w:rsid w:val="001E757E"/>
    <w:rsid w:val="001E763C"/>
    <w:rsid w:val="00220AB6"/>
    <w:rsid w:val="00224957"/>
    <w:rsid w:val="002314AA"/>
    <w:rsid w:val="00234022"/>
    <w:rsid w:val="0023504D"/>
    <w:rsid w:val="00235D4C"/>
    <w:rsid w:val="00237A37"/>
    <w:rsid w:val="0024119C"/>
    <w:rsid w:val="0025202C"/>
    <w:rsid w:val="002562CC"/>
    <w:rsid w:val="00260589"/>
    <w:rsid w:val="00265F75"/>
    <w:rsid w:val="002940F8"/>
    <w:rsid w:val="002B0148"/>
    <w:rsid w:val="002B7856"/>
    <w:rsid w:val="002D3BBD"/>
    <w:rsid w:val="002D4526"/>
    <w:rsid w:val="002D69E1"/>
    <w:rsid w:val="002E5711"/>
    <w:rsid w:val="002F5CF7"/>
    <w:rsid w:val="0030072F"/>
    <w:rsid w:val="003031E1"/>
    <w:rsid w:val="003056D9"/>
    <w:rsid w:val="003102FA"/>
    <w:rsid w:val="003126B1"/>
    <w:rsid w:val="003169F5"/>
    <w:rsid w:val="0033370B"/>
    <w:rsid w:val="0034309A"/>
    <w:rsid w:val="00345050"/>
    <w:rsid w:val="00351129"/>
    <w:rsid w:val="00352705"/>
    <w:rsid w:val="00370CB6"/>
    <w:rsid w:val="0037321B"/>
    <w:rsid w:val="003961FC"/>
    <w:rsid w:val="003A6F70"/>
    <w:rsid w:val="003B03E0"/>
    <w:rsid w:val="003C23BE"/>
    <w:rsid w:val="003C28FC"/>
    <w:rsid w:val="003C2D10"/>
    <w:rsid w:val="003C7226"/>
    <w:rsid w:val="003D1C14"/>
    <w:rsid w:val="003D3414"/>
    <w:rsid w:val="003E3691"/>
    <w:rsid w:val="003E7C23"/>
    <w:rsid w:val="003F0C49"/>
    <w:rsid w:val="003F4C9C"/>
    <w:rsid w:val="0040475C"/>
    <w:rsid w:val="00406EB0"/>
    <w:rsid w:val="00410D1F"/>
    <w:rsid w:val="0041327F"/>
    <w:rsid w:val="00414E48"/>
    <w:rsid w:val="00414E7B"/>
    <w:rsid w:val="004179B7"/>
    <w:rsid w:val="004221D4"/>
    <w:rsid w:val="004315BB"/>
    <w:rsid w:val="00432118"/>
    <w:rsid w:val="00435F66"/>
    <w:rsid w:val="0044271B"/>
    <w:rsid w:val="00443646"/>
    <w:rsid w:val="0044475B"/>
    <w:rsid w:val="00455CB3"/>
    <w:rsid w:val="00460257"/>
    <w:rsid w:val="004607BF"/>
    <w:rsid w:val="004661D2"/>
    <w:rsid w:val="004776FF"/>
    <w:rsid w:val="00493D28"/>
    <w:rsid w:val="004B7325"/>
    <w:rsid w:val="004C40EA"/>
    <w:rsid w:val="004C64D9"/>
    <w:rsid w:val="004D0A26"/>
    <w:rsid w:val="004E02CE"/>
    <w:rsid w:val="004E729A"/>
    <w:rsid w:val="004F0BA3"/>
    <w:rsid w:val="004F206F"/>
    <w:rsid w:val="004F56F1"/>
    <w:rsid w:val="00500FFD"/>
    <w:rsid w:val="00516914"/>
    <w:rsid w:val="00522F6A"/>
    <w:rsid w:val="005236B6"/>
    <w:rsid w:val="005318AB"/>
    <w:rsid w:val="005321E3"/>
    <w:rsid w:val="00532CA2"/>
    <w:rsid w:val="005431DB"/>
    <w:rsid w:val="00552317"/>
    <w:rsid w:val="0055590B"/>
    <w:rsid w:val="00562649"/>
    <w:rsid w:val="00575235"/>
    <w:rsid w:val="0058067E"/>
    <w:rsid w:val="0058639E"/>
    <w:rsid w:val="005870DF"/>
    <w:rsid w:val="0058776D"/>
    <w:rsid w:val="00592A18"/>
    <w:rsid w:val="005B773B"/>
    <w:rsid w:val="005C66D4"/>
    <w:rsid w:val="005D14C4"/>
    <w:rsid w:val="005D1946"/>
    <w:rsid w:val="005E093F"/>
    <w:rsid w:val="00612544"/>
    <w:rsid w:val="0061616C"/>
    <w:rsid w:val="006301B2"/>
    <w:rsid w:val="006338F2"/>
    <w:rsid w:val="00634485"/>
    <w:rsid w:val="0063673D"/>
    <w:rsid w:val="00645B0C"/>
    <w:rsid w:val="00646A97"/>
    <w:rsid w:val="00663A16"/>
    <w:rsid w:val="00672211"/>
    <w:rsid w:val="00680208"/>
    <w:rsid w:val="006824EF"/>
    <w:rsid w:val="00683A81"/>
    <w:rsid w:val="00684492"/>
    <w:rsid w:val="00694EB3"/>
    <w:rsid w:val="00695DA7"/>
    <w:rsid w:val="006967D4"/>
    <w:rsid w:val="006A496D"/>
    <w:rsid w:val="006B59E1"/>
    <w:rsid w:val="006C0991"/>
    <w:rsid w:val="006D21B1"/>
    <w:rsid w:val="006D6457"/>
    <w:rsid w:val="006E6389"/>
    <w:rsid w:val="006F30F8"/>
    <w:rsid w:val="00712BC2"/>
    <w:rsid w:val="0071346B"/>
    <w:rsid w:val="007216EA"/>
    <w:rsid w:val="00721966"/>
    <w:rsid w:val="00723D18"/>
    <w:rsid w:val="00724599"/>
    <w:rsid w:val="0072757B"/>
    <w:rsid w:val="00736C06"/>
    <w:rsid w:val="007416E3"/>
    <w:rsid w:val="00742010"/>
    <w:rsid w:val="00744D22"/>
    <w:rsid w:val="00772360"/>
    <w:rsid w:val="007747E6"/>
    <w:rsid w:val="0078087A"/>
    <w:rsid w:val="007957C4"/>
    <w:rsid w:val="007A4AB6"/>
    <w:rsid w:val="007B291C"/>
    <w:rsid w:val="007B2ACC"/>
    <w:rsid w:val="007B52C8"/>
    <w:rsid w:val="007B6E55"/>
    <w:rsid w:val="007C0FDA"/>
    <w:rsid w:val="007C3C0E"/>
    <w:rsid w:val="007C4E7D"/>
    <w:rsid w:val="007D0FEE"/>
    <w:rsid w:val="0081298B"/>
    <w:rsid w:val="008217CD"/>
    <w:rsid w:val="00827787"/>
    <w:rsid w:val="00832B51"/>
    <w:rsid w:val="00835ADD"/>
    <w:rsid w:val="00837174"/>
    <w:rsid w:val="00846A21"/>
    <w:rsid w:val="008556C3"/>
    <w:rsid w:val="008562AB"/>
    <w:rsid w:val="00870BFA"/>
    <w:rsid w:val="00870DAB"/>
    <w:rsid w:val="00873969"/>
    <w:rsid w:val="0087455A"/>
    <w:rsid w:val="00892AFC"/>
    <w:rsid w:val="008A03F8"/>
    <w:rsid w:val="008B0D27"/>
    <w:rsid w:val="008B7C6D"/>
    <w:rsid w:val="008C0700"/>
    <w:rsid w:val="008C0C70"/>
    <w:rsid w:val="008C17F2"/>
    <w:rsid w:val="008C5597"/>
    <w:rsid w:val="008D1526"/>
    <w:rsid w:val="008D584A"/>
    <w:rsid w:val="008E1FCA"/>
    <w:rsid w:val="008E3D9C"/>
    <w:rsid w:val="009141A6"/>
    <w:rsid w:val="00926A92"/>
    <w:rsid w:val="0093343E"/>
    <w:rsid w:val="00953EC8"/>
    <w:rsid w:val="00955551"/>
    <w:rsid w:val="00957456"/>
    <w:rsid w:val="00966E59"/>
    <w:rsid w:val="00975AA3"/>
    <w:rsid w:val="00975EB9"/>
    <w:rsid w:val="0097629D"/>
    <w:rsid w:val="00976BAB"/>
    <w:rsid w:val="009773AF"/>
    <w:rsid w:val="00983759"/>
    <w:rsid w:val="00986740"/>
    <w:rsid w:val="009A271C"/>
    <w:rsid w:val="009A67F5"/>
    <w:rsid w:val="009B65F4"/>
    <w:rsid w:val="009C2F32"/>
    <w:rsid w:val="009C46BF"/>
    <w:rsid w:val="009C4EFA"/>
    <w:rsid w:val="009C73B7"/>
    <w:rsid w:val="009D0AB3"/>
    <w:rsid w:val="009D3292"/>
    <w:rsid w:val="009D63A9"/>
    <w:rsid w:val="009E40FB"/>
    <w:rsid w:val="009E5EDA"/>
    <w:rsid w:val="00A032F1"/>
    <w:rsid w:val="00A0442E"/>
    <w:rsid w:val="00A04C79"/>
    <w:rsid w:val="00A14B1D"/>
    <w:rsid w:val="00A35217"/>
    <w:rsid w:val="00A40057"/>
    <w:rsid w:val="00A4593D"/>
    <w:rsid w:val="00A52D06"/>
    <w:rsid w:val="00A53958"/>
    <w:rsid w:val="00A60D1E"/>
    <w:rsid w:val="00A62DC1"/>
    <w:rsid w:val="00A73612"/>
    <w:rsid w:val="00A81140"/>
    <w:rsid w:val="00A824CA"/>
    <w:rsid w:val="00A85A7B"/>
    <w:rsid w:val="00A913AB"/>
    <w:rsid w:val="00AA31E0"/>
    <w:rsid w:val="00AA79A1"/>
    <w:rsid w:val="00AA7C1B"/>
    <w:rsid w:val="00AB21DA"/>
    <w:rsid w:val="00AC248E"/>
    <w:rsid w:val="00AC3F99"/>
    <w:rsid w:val="00AD0AF6"/>
    <w:rsid w:val="00AD13E4"/>
    <w:rsid w:val="00AD2624"/>
    <w:rsid w:val="00AD6AAD"/>
    <w:rsid w:val="00AE0CD2"/>
    <w:rsid w:val="00AE2B18"/>
    <w:rsid w:val="00AF0B38"/>
    <w:rsid w:val="00AF3382"/>
    <w:rsid w:val="00AF3F82"/>
    <w:rsid w:val="00B106EA"/>
    <w:rsid w:val="00B151A8"/>
    <w:rsid w:val="00B23FB2"/>
    <w:rsid w:val="00B27BE5"/>
    <w:rsid w:val="00B337A5"/>
    <w:rsid w:val="00B3561F"/>
    <w:rsid w:val="00B35A45"/>
    <w:rsid w:val="00B36D1D"/>
    <w:rsid w:val="00B4641E"/>
    <w:rsid w:val="00B46E78"/>
    <w:rsid w:val="00B5072E"/>
    <w:rsid w:val="00B53290"/>
    <w:rsid w:val="00B57FE6"/>
    <w:rsid w:val="00B611BF"/>
    <w:rsid w:val="00B64C77"/>
    <w:rsid w:val="00B650A8"/>
    <w:rsid w:val="00B77237"/>
    <w:rsid w:val="00B80485"/>
    <w:rsid w:val="00B85432"/>
    <w:rsid w:val="00B95BF7"/>
    <w:rsid w:val="00BB23A9"/>
    <w:rsid w:val="00BC0341"/>
    <w:rsid w:val="00BC5D71"/>
    <w:rsid w:val="00BD4760"/>
    <w:rsid w:val="00BD7483"/>
    <w:rsid w:val="00BE2776"/>
    <w:rsid w:val="00C06D9C"/>
    <w:rsid w:val="00C0779E"/>
    <w:rsid w:val="00C1644D"/>
    <w:rsid w:val="00C22B05"/>
    <w:rsid w:val="00C30621"/>
    <w:rsid w:val="00C307F0"/>
    <w:rsid w:val="00C360A2"/>
    <w:rsid w:val="00C4493E"/>
    <w:rsid w:val="00C766EF"/>
    <w:rsid w:val="00C80F8C"/>
    <w:rsid w:val="00CA047D"/>
    <w:rsid w:val="00CB4015"/>
    <w:rsid w:val="00CC5EAB"/>
    <w:rsid w:val="00CD13BC"/>
    <w:rsid w:val="00CF30E8"/>
    <w:rsid w:val="00D01B99"/>
    <w:rsid w:val="00D12B23"/>
    <w:rsid w:val="00D16EA1"/>
    <w:rsid w:val="00D22D87"/>
    <w:rsid w:val="00D26C0E"/>
    <w:rsid w:val="00D34604"/>
    <w:rsid w:val="00D45865"/>
    <w:rsid w:val="00D46C00"/>
    <w:rsid w:val="00D557C2"/>
    <w:rsid w:val="00D61026"/>
    <w:rsid w:val="00D64F32"/>
    <w:rsid w:val="00D66D4C"/>
    <w:rsid w:val="00D74C44"/>
    <w:rsid w:val="00D93CE4"/>
    <w:rsid w:val="00D95878"/>
    <w:rsid w:val="00DA157D"/>
    <w:rsid w:val="00DA5071"/>
    <w:rsid w:val="00DA5209"/>
    <w:rsid w:val="00DC223E"/>
    <w:rsid w:val="00DD6A6C"/>
    <w:rsid w:val="00DE6440"/>
    <w:rsid w:val="00DF015D"/>
    <w:rsid w:val="00DF733A"/>
    <w:rsid w:val="00E04840"/>
    <w:rsid w:val="00E10A96"/>
    <w:rsid w:val="00E141A5"/>
    <w:rsid w:val="00E146AA"/>
    <w:rsid w:val="00E170E8"/>
    <w:rsid w:val="00E27A4A"/>
    <w:rsid w:val="00E27F2A"/>
    <w:rsid w:val="00E313C4"/>
    <w:rsid w:val="00E3480F"/>
    <w:rsid w:val="00E401F1"/>
    <w:rsid w:val="00E414B3"/>
    <w:rsid w:val="00E42755"/>
    <w:rsid w:val="00E43B8E"/>
    <w:rsid w:val="00E45B76"/>
    <w:rsid w:val="00E46383"/>
    <w:rsid w:val="00E50E30"/>
    <w:rsid w:val="00E74EDE"/>
    <w:rsid w:val="00E76ECF"/>
    <w:rsid w:val="00E77EA8"/>
    <w:rsid w:val="00E8209A"/>
    <w:rsid w:val="00E91550"/>
    <w:rsid w:val="00E91A10"/>
    <w:rsid w:val="00EA27CB"/>
    <w:rsid w:val="00EA5EEB"/>
    <w:rsid w:val="00EA7874"/>
    <w:rsid w:val="00EB7480"/>
    <w:rsid w:val="00EB7DE6"/>
    <w:rsid w:val="00EB7F1A"/>
    <w:rsid w:val="00EC0002"/>
    <w:rsid w:val="00ED5EE9"/>
    <w:rsid w:val="00F00A8E"/>
    <w:rsid w:val="00F01984"/>
    <w:rsid w:val="00F06505"/>
    <w:rsid w:val="00F069BC"/>
    <w:rsid w:val="00F15420"/>
    <w:rsid w:val="00F1579C"/>
    <w:rsid w:val="00F36CDE"/>
    <w:rsid w:val="00F44E84"/>
    <w:rsid w:val="00F45BF1"/>
    <w:rsid w:val="00F5073D"/>
    <w:rsid w:val="00F548A9"/>
    <w:rsid w:val="00F54D8B"/>
    <w:rsid w:val="00F57D55"/>
    <w:rsid w:val="00F67F8E"/>
    <w:rsid w:val="00F7009C"/>
    <w:rsid w:val="00F75801"/>
    <w:rsid w:val="00F92AF0"/>
    <w:rsid w:val="00F92F15"/>
    <w:rsid w:val="00F9624E"/>
    <w:rsid w:val="00FA05FB"/>
    <w:rsid w:val="00FA6221"/>
    <w:rsid w:val="00FB48D6"/>
    <w:rsid w:val="00FE72F4"/>
    <w:rsid w:val="00FE7408"/>
    <w:rsid w:val="00FF039F"/>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634DDB0-D30B-41FA-A807-297C001B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 w:id="1743289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E625E-EDB1-4EA7-8C02-FE237CC4D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1176</Words>
  <Characters>6470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22</cp:revision>
  <cp:lastPrinted>2018-07-02T19:29:00Z</cp:lastPrinted>
  <dcterms:created xsi:type="dcterms:W3CDTF">2019-02-14T23:43:00Z</dcterms:created>
  <dcterms:modified xsi:type="dcterms:W3CDTF">2019-03-14T23:17:00Z</dcterms:modified>
</cp:coreProperties>
</file>